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314" w:rsidRPr="00F71495" w:rsidRDefault="008D3314" w:rsidP="008D3314">
      <w:pPr>
        <w:autoSpaceDE w:val="0"/>
        <w:autoSpaceDN w:val="0"/>
        <w:adjustRightInd w:val="0"/>
        <w:spacing w:after="0" w:line="240" w:lineRule="auto"/>
        <w:ind w:left="9639"/>
        <w:outlineLvl w:val="0"/>
        <w:rPr>
          <w:rFonts w:ascii="Times New Roman" w:eastAsia="Calibri" w:hAnsi="Times New Roman"/>
          <w:sz w:val="28"/>
          <w:szCs w:val="28"/>
        </w:rPr>
      </w:pPr>
      <w:r w:rsidRPr="00F71495">
        <w:rPr>
          <w:rFonts w:ascii="Times New Roman" w:eastAsia="Calibri" w:hAnsi="Times New Roman"/>
          <w:sz w:val="28"/>
          <w:szCs w:val="28"/>
        </w:rPr>
        <w:t xml:space="preserve">Приложение № </w:t>
      </w:r>
      <w:r>
        <w:rPr>
          <w:rFonts w:ascii="Times New Roman" w:eastAsia="Calibri" w:hAnsi="Times New Roman"/>
          <w:sz w:val="28"/>
          <w:szCs w:val="28"/>
        </w:rPr>
        <w:t>2</w:t>
      </w:r>
    </w:p>
    <w:p w:rsidR="008D3314" w:rsidRDefault="008D3314" w:rsidP="008D3314">
      <w:pPr>
        <w:widowControl w:val="0"/>
        <w:tabs>
          <w:tab w:val="left" w:pos="8505"/>
        </w:tabs>
        <w:suppressAutoHyphens/>
        <w:autoSpaceDE w:val="0"/>
        <w:autoSpaceDN w:val="0"/>
        <w:adjustRightInd w:val="0"/>
        <w:spacing w:after="0" w:line="240" w:lineRule="auto"/>
        <w:ind w:left="9639"/>
        <w:jc w:val="both"/>
        <w:outlineLvl w:val="0"/>
        <w:rPr>
          <w:rFonts w:ascii="Times New Roman" w:eastAsia="Calibri" w:hAnsi="Times New Roman"/>
          <w:sz w:val="28"/>
          <w:szCs w:val="28"/>
        </w:rPr>
      </w:pPr>
      <w:r w:rsidRPr="00F71495">
        <w:rPr>
          <w:rFonts w:ascii="Times New Roman" w:eastAsia="Calibri" w:hAnsi="Times New Roman"/>
          <w:sz w:val="28"/>
          <w:szCs w:val="28"/>
        </w:rPr>
        <w:t xml:space="preserve">к Методике расчета показателей и оценки </w:t>
      </w:r>
      <w:proofErr w:type="gramStart"/>
      <w:r w:rsidRPr="00F71495">
        <w:rPr>
          <w:rFonts w:ascii="Times New Roman" w:eastAsia="Calibri" w:hAnsi="Times New Roman"/>
          <w:sz w:val="28"/>
          <w:szCs w:val="28"/>
        </w:rPr>
        <w:t>качества финансового менеджмента  главных распорядителей средств бюджета муниципального образования</w:t>
      </w:r>
      <w:proofErr w:type="gramEnd"/>
      <w:r w:rsidRPr="00F71495">
        <w:rPr>
          <w:rFonts w:ascii="Times New Roman" w:eastAsia="Calibri" w:hAnsi="Times New Roman"/>
          <w:sz w:val="28"/>
          <w:szCs w:val="28"/>
        </w:rPr>
        <w:t xml:space="preserve"> Новокубанский район, главных администраторов     доходов (источников финансирования дефицита) бюджета муниципального образования Новокубанский район</w:t>
      </w:r>
    </w:p>
    <w:p w:rsidR="008D3314" w:rsidRPr="00F71495" w:rsidRDefault="008D3314" w:rsidP="008D3314">
      <w:pPr>
        <w:widowControl w:val="0"/>
        <w:tabs>
          <w:tab w:val="left" w:pos="8505"/>
        </w:tabs>
        <w:suppressAutoHyphens/>
        <w:autoSpaceDE w:val="0"/>
        <w:autoSpaceDN w:val="0"/>
        <w:adjustRightInd w:val="0"/>
        <w:spacing w:after="0" w:line="240" w:lineRule="auto"/>
        <w:ind w:left="9639"/>
        <w:jc w:val="both"/>
        <w:outlineLvl w:val="0"/>
        <w:rPr>
          <w:rFonts w:ascii="Times New Roman" w:eastAsia="Calibri" w:hAnsi="Times New Roman"/>
          <w:sz w:val="28"/>
          <w:szCs w:val="28"/>
        </w:rPr>
      </w:pPr>
    </w:p>
    <w:p w:rsidR="008D3314" w:rsidRPr="00A6030C" w:rsidRDefault="008B1131" w:rsidP="008D331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ПОКАЗАТЕЛЕЙ</w:t>
      </w:r>
      <w:bookmarkStart w:id="0" w:name="_GoBack"/>
      <w:bookmarkEnd w:id="0"/>
    </w:p>
    <w:p w:rsidR="008D3314" w:rsidRDefault="008D3314" w:rsidP="008D3314">
      <w:pPr>
        <w:tabs>
          <w:tab w:val="left" w:pos="1457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030C">
        <w:rPr>
          <w:rFonts w:ascii="Times New Roman" w:hAnsi="Times New Roman"/>
          <w:b/>
          <w:sz w:val="28"/>
          <w:szCs w:val="28"/>
        </w:rPr>
        <w:t xml:space="preserve">годового мониторинга </w:t>
      </w:r>
      <w:proofErr w:type="gramStart"/>
      <w:r w:rsidRPr="00A6030C">
        <w:rPr>
          <w:rFonts w:ascii="Times New Roman" w:hAnsi="Times New Roman"/>
          <w:b/>
          <w:sz w:val="28"/>
          <w:szCs w:val="28"/>
        </w:rPr>
        <w:t>качества финансового менеджмента главных распорядителей средств бюджета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Новокубанский район</w:t>
      </w:r>
      <w:r w:rsidRPr="00A6030C">
        <w:rPr>
          <w:rFonts w:ascii="Times New Roman" w:hAnsi="Times New Roman"/>
          <w:b/>
          <w:sz w:val="28"/>
          <w:szCs w:val="28"/>
        </w:rPr>
        <w:t>, главных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6030C">
        <w:rPr>
          <w:rFonts w:ascii="Times New Roman" w:hAnsi="Times New Roman"/>
          <w:b/>
          <w:sz w:val="28"/>
          <w:szCs w:val="28"/>
        </w:rPr>
        <w:t>администраторов доходов (источников финансирования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6030C">
        <w:rPr>
          <w:rFonts w:ascii="Times New Roman" w:hAnsi="Times New Roman"/>
          <w:b/>
          <w:sz w:val="28"/>
          <w:szCs w:val="28"/>
        </w:rPr>
        <w:t>дефицита)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6030C">
        <w:rPr>
          <w:rFonts w:ascii="Times New Roman" w:hAnsi="Times New Roman"/>
          <w:b/>
          <w:sz w:val="28"/>
          <w:szCs w:val="28"/>
        </w:rPr>
        <w:t>бюджета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образования Новокубанский район</w:t>
      </w:r>
    </w:p>
    <w:p w:rsidR="00231CD0" w:rsidRDefault="00231CD0" w:rsidP="008D3314">
      <w:pPr>
        <w:tabs>
          <w:tab w:val="left" w:pos="14570"/>
        </w:tabs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4984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2"/>
        <w:gridCol w:w="4395"/>
        <w:gridCol w:w="1415"/>
        <w:gridCol w:w="3543"/>
        <w:gridCol w:w="2974"/>
      </w:tblGrid>
      <w:tr w:rsidR="008D3314" w:rsidTr="00231CD0">
        <w:trPr>
          <w:tblHeader/>
        </w:trPr>
        <w:tc>
          <w:tcPr>
            <w:tcW w:w="818" w:type="pct"/>
            <w:vAlign w:val="center"/>
          </w:tcPr>
          <w:p w:rsidR="008D3314" w:rsidRPr="00781992" w:rsidRDefault="008D3314" w:rsidP="008D33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992">
              <w:rPr>
                <w:rFonts w:ascii="Times New Roman" w:hAnsi="Times New Roman"/>
                <w:sz w:val="24"/>
                <w:szCs w:val="24"/>
              </w:rPr>
              <w:t>Наименование группы</w:t>
            </w:r>
            <w:r w:rsidRPr="0078199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81992">
              <w:rPr>
                <w:rFonts w:ascii="Times New Roman" w:hAnsi="Times New Roman"/>
                <w:sz w:val="24"/>
                <w:szCs w:val="24"/>
              </w:rPr>
              <w:t>показателей/</w:t>
            </w:r>
          </w:p>
          <w:p w:rsidR="008D3314" w:rsidRPr="00781992" w:rsidRDefault="008D3314" w:rsidP="008D33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992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491" w:type="pct"/>
            <w:vAlign w:val="center"/>
          </w:tcPr>
          <w:p w:rsidR="008D3314" w:rsidRPr="00781992" w:rsidRDefault="008D3314" w:rsidP="008D33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992">
              <w:rPr>
                <w:rFonts w:ascii="Times New Roman" w:hAnsi="Times New Roman"/>
                <w:sz w:val="24"/>
                <w:szCs w:val="24"/>
              </w:rPr>
              <w:t>Расчет показателя</w:t>
            </w:r>
          </w:p>
        </w:tc>
        <w:tc>
          <w:tcPr>
            <w:tcW w:w="480" w:type="pct"/>
            <w:vAlign w:val="center"/>
          </w:tcPr>
          <w:p w:rsidR="008D3314" w:rsidRPr="00781992" w:rsidRDefault="008D3314" w:rsidP="008D33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992">
              <w:rPr>
                <w:rFonts w:ascii="Times New Roman" w:hAnsi="Times New Roman"/>
                <w:sz w:val="24"/>
                <w:szCs w:val="24"/>
              </w:rPr>
              <w:t xml:space="preserve">Вес группы в итоговой оценке/ показателя в группе, % </w:t>
            </w:r>
          </w:p>
        </w:tc>
        <w:tc>
          <w:tcPr>
            <w:tcW w:w="1202" w:type="pct"/>
            <w:vAlign w:val="center"/>
          </w:tcPr>
          <w:p w:rsidR="008D3314" w:rsidRPr="00781992" w:rsidRDefault="008D3314" w:rsidP="008D33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992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1009" w:type="pct"/>
            <w:vAlign w:val="center"/>
          </w:tcPr>
          <w:p w:rsidR="008D3314" w:rsidRPr="00781992" w:rsidRDefault="008D3314" w:rsidP="008D331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1992">
              <w:rPr>
                <w:rFonts w:ascii="Times New Roman" w:hAnsi="Times New Roman"/>
                <w:sz w:val="24"/>
                <w:szCs w:val="24"/>
              </w:rPr>
              <w:t>Комментарий</w:t>
            </w:r>
          </w:p>
        </w:tc>
      </w:tr>
      <w:tr w:rsidR="008D3314" w:rsidTr="00231CD0">
        <w:trPr>
          <w:trHeight w:val="369"/>
        </w:trPr>
        <w:tc>
          <w:tcPr>
            <w:tcW w:w="2309" w:type="pct"/>
            <w:gridSpan w:val="2"/>
          </w:tcPr>
          <w:p w:rsidR="008D3314" w:rsidRPr="002835B2" w:rsidRDefault="008D3314" w:rsidP="008D331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835B2">
              <w:rPr>
                <w:rFonts w:ascii="Times New Roman" w:hAnsi="Times New Roman"/>
                <w:b/>
                <w:sz w:val="24"/>
                <w:szCs w:val="24"/>
              </w:rPr>
              <w:t>1. Бюджетное планирование</w:t>
            </w:r>
          </w:p>
        </w:tc>
        <w:tc>
          <w:tcPr>
            <w:tcW w:w="480" w:type="pct"/>
            <w:vAlign w:val="center"/>
          </w:tcPr>
          <w:p w:rsidR="008D3314" w:rsidRPr="002835B2" w:rsidRDefault="008D3314" w:rsidP="008D331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202" w:type="pct"/>
          </w:tcPr>
          <w:p w:rsidR="008D3314" w:rsidRPr="002835B2" w:rsidRDefault="008D3314" w:rsidP="008D33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pct"/>
          </w:tcPr>
          <w:p w:rsidR="008D3314" w:rsidRPr="002835B2" w:rsidRDefault="008D3314" w:rsidP="008D33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314" w:rsidTr="00231CD0">
        <w:trPr>
          <w:trHeight w:val="297"/>
        </w:trPr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1.1. Качество правового </w:t>
            </w: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акта главного распорядителя средств бюджета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муниципального образования</w:t>
            </w:r>
            <w:proofErr w:type="gramEnd"/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Новокубанский район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(далее – ГРБС), регулирующего внутренние процедуры подготовки бюджетных проектировок на очередной финансовый год и на плановый период</w:t>
            </w: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Наличие правового акта ГРБС, регулирующего внутренние процедуры подготовки бюджетных проектировок на очередной финансовый год и плановый период, а также включение в данный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документ разделов, регламентирующих: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1) подготовку реестра расходных обязательств ГРБС;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2) подготовку обоснований бюджетных ассигнований;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3) распределение бюджетных ассигнований между подведомственными получателями средств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бюджета муниципального образования Новокубанский район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(далее –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ПБС) с учетом достижения непосредственных результатов в отчетном пе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риоде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При наличии двух и более подведомственных ПБС: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E(P)=1, если правовой акт ГРБС полностью соответствует требованиям пунктов 1 – 3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графы 2 настоящего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подраздела;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E(P)=0,5, если правовой акт ГРБС не соответствует одному из требований пунктов 1 - 3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графы 2 настоящего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подраздела;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E(P)=0, если правовой акт ГРБС не утвержден или не соответствует более чем одному из требований пунктов 1 - 3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графы 2 настоящего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подраздела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При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shd w:val="clear" w:color="auto" w:fill="FFFFFF"/>
              </w:rPr>
              <w:t>наличии одного или отсутствии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подведомственных</w:t>
            </w:r>
            <w:proofErr w:type="gram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ПБС: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E(P)=1, если правовой акт ГРБС полностью соответствует требованиям пунктов 1 – 2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графы 2 настоящего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подраздела;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E(P)=0,5, если правовой акт ГРБС не соответствует одному из требований пунктов 1 - 2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графы 2 настоящего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подраздела;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E(P)=0, если правовой акт ГРБС не утвержден или не соответствует требованиям пунктов 1 и 2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графы 2 настоящего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подраздела</w:t>
            </w: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Качество финансового менеджмента зависит от наличия и качества правовых актов ГРБС, регламентирующих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внутренние правила и процедуры планирования потребностей в бюджетных средствах для реализации соответ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ствующих полномочий</w:t>
            </w:r>
          </w:p>
        </w:tc>
      </w:tr>
      <w:tr w:rsidR="008D3314" w:rsidTr="00231CD0">
        <w:trPr>
          <w:trHeight w:val="201"/>
        </w:trPr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1.2. Внедрение ГРБС процедур среднесрочного финансового планирования</w:t>
            </w:r>
          </w:p>
        </w:tc>
        <w:tc>
          <w:tcPr>
            <w:tcW w:w="1491" w:type="pct"/>
          </w:tcPr>
          <w:p w:rsidR="008D3314" w:rsidRPr="00E73A6D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Значение показателя соответствует оценке ГРБС по итогам проведённого в отчётном финансовом году мониторинга качества финансового менеджмента в части документов, используемых при составлении проекта бюджета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муниципального образования Новокубанский район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на очередной финансовый год и на плановый период, рассчитанной в соответствии с приложением № 1 к Методике расчета показателей и оценки качества финансового менеджмента, осуществляемого главными распорядителями средств бюджета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муниципального образования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Новокубанский район</w:t>
            </w:r>
            <w:proofErr w:type="gram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, главными администраторами доходов (источников финансирования дефицита) бюджета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муниципального образования Новокубанский район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, утверждённой финансов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ым управлением администрации муниципального образования Новокубанский район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(далее соответственно – Методика,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финансовое управление)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)=∑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S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vertAlign w:val="subscript"/>
                <w:lang w:val="en-US"/>
              </w:rPr>
              <w:t>i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(∑</w:t>
            </w:r>
            <w:proofErr w:type="spell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S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vertAlign w:val="subscript"/>
                <w:lang w:val="en-US"/>
              </w:rPr>
              <w:t>ij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proofErr w:type="spell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</w:t>
            </w:r>
            <w:proofErr w:type="spell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)), где: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S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vertAlign w:val="subscript"/>
                <w:lang w:val="en-US"/>
              </w:rPr>
              <w:t>i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– вес </w:t>
            </w:r>
            <w:proofErr w:type="spell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-ой группы показателей, указанной в приложении 1 к Методике (далее – </w:t>
            </w:r>
            <w:proofErr w:type="spell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-</w:t>
            </w:r>
            <w:proofErr w:type="spell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ая</w:t>
            </w:r>
            <w:proofErr w:type="spell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группа);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proofErr w:type="spell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S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– вес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j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-ого показателя в </w:t>
            </w:r>
            <w:proofErr w:type="spell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-ой группе;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</w:t>
            </w:r>
            <w:proofErr w:type="spell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vertAlign w:val="subscript"/>
                <w:lang w:val="en-US"/>
              </w:rPr>
              <w:t>ij</w:t>
            </w:r>
            <w:proofErr w:type="spell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) – оценка по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j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-ому показателю в </w:t>
            </w:r>
            <w:proofErr w:type="spell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i</w:t>
            </w:r>
            <w:proofErr w:type="spellEnd"/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-ой группе</w:t>
            </w: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На качество финансового менеджмента ГРБС влияет качество подготовки реестров расходных обязательств и обоснований бюджетных ассигнований, используемых в целях планирования бюджетных ассигнований для реализации соответ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ствующих полномочий ГРБС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314" w:rsidTr="00231CD0">
        <w:trPr>
          <w:trHeight w:val="3132"/>
        </w:trPr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1.3. Доля бюджетных ассигнований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ГРБС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, представленных в программном виде</w:t>
            </w: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=(</w:t>
            </w:r>
            <w:proofErr w:type="spell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S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vertAlign w:val="subscript"/>
                <w:lang w:val="en-US"/>
              </w:rPr>
              <w:t>p</w:t>
            </w:r>
            <w:proofErr w:type="spell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/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S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)х100, где: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S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vertAlign w:val="subscript"/>
                <w:lang w:val="en-US"/>
              </w:rPr>
              <w:t>p</w:t>
            </w:r>
            <w:proofErr w:type="spell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–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сумма бюджетных ассигнований ГРБС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на отчетный финансовый год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, представленная в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виде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ных программ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Новокубанский район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общая сумма бюджетных ассигнований ГРБС, предусмотренная сводной бюджетной росписью в от</w:t>
            </w:r>
            <w:r>
              <w:rPr>
                <w:rFonts w:ascii="Times New Roman" w:hAnsi="Times New Roman"/>
                <w:sz w:val="24"/>
                <w:szCs w:val="24"/>
              </w:rPr>
              <w:t>четном финансовом году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02" w:type="pct"/>
          </w:tcPr>
          <w:p w:rsidR="008D3314" w:rsidRPr="00614CD3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)=</w:t>
            </w:r>
            <w:r w:rsidRPr="008D671C">
              <w:rPr>
                <w:rFonts w:ascii="Times New Roman" w:hAnsi="Times New Roman"/>
                <w:snapToGrid w:val="0"/>
                <w:color w:val="000000"/>
                <w:position w:val="-86"/>
                <w:sz w:val="24"/>
                <w:szCs w:val="24"/>
                <w:lang w:val="en-US"/>
              </w:rPr>
              <w:object w:dxaOrig="3240" w:dyaOrig="18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38pt;height:91.5pt" o:ole="" fillcolor="window">
                  <v:imagedata r:id="rId7" o:title=""/>
                </v:shape>
                <o:OLEObject Type="Embed" ProgID="Equation.3" ShapeID="_x0000_i1025" DrawAspect="Content" ObjectID="_1494933034" r:id="rId8"/>
              </w:object>
            </w:r>
          </w:p>
        </w:tc>
        <w:tc>
          <w:tcPr>
            <w:tcW w:w="1009" w:type="pct"/>
          </w:tcPr>
          <w:p w:rsidR="008D3314" w:rsidRPr="003210BB" w:rsidRDefault="008D3314" w:rsidP="00553D25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Положительно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расценивается доля утвержденных </w:t>
            </w:r>
            <w:r>
              <w:rPr>
                <w:rFonts w:ascii="Times New Roman" w:hAnsi="Times New Roman"/>
                <w:sz w:val="24"/>
                <w:szCs w:val="24"/>
              </w:rPr>
              <w:t>решением Совета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о бюджете и представленных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в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программном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виде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бюджетных ассигнований ГРБС в отчетном финансовом году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80% и выше в общем объеме бюджетных ассигнова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ний ГРБС</w:t>
            </w:r>
          </w:p>
        </w:tc>
      </w:tr>
      <w:tr w:rsidR="008D3314" w:rsidTr="00231CD0"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1.4. Качество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правового акта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ГРБС, регулирующего порядок составления, утверждения и веде</w:t>
            </w:r>
            <w:r>
              <w:rPr>
                <w:rFonts w:ascii="Times New Roman" w:hAnsi="Times New Roman"/>
                <w:sz w:val="24"/>
                <w:szCs w:val="24"/>
              </w:rPr>
              <w:t>ния бюджетных смет</w:t>
            </w: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Наличие правового акта ГРБС, регламентирующего: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1) процедуры составления, утверждения и ведения бюджетных смет </w:t>
            </w:r>
            <w:r>
              <w:rPr>
                <w:rFonts w:ascii="Times New Roman" w:hAnsi="Times New Roman"/>
                <w:sz w:val="24"/>
                <w:szCs w:val="24"/>
              </w:rPr>
              <w:t>получателей бюджетных средств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, применяемые как к ГРБС, так и к </w:t>
            </w:r>
            <w:proofErr w:type="gramStart"/>
            <w:r w:rsidRPr="003210BB">
              <w:rPr>
                <w:rFonts w:ascii="Times New Roman" w:hAnsi="Times New Roman"/>
                <w:sz w:val="24"/>
                <w:szCs w:val="24"/>
              </w:rPr>
              <w:t>подведомственным</w:t>
            </w:r>
            <w:proofErr w:type="gramEnd"/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ПБС;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2) процедуры составления и представления расчетов (обоснований) к бюджетным сметам подведомственных ПБС;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3) процедуры составления и представления проектов бюджетных смет на этапе формирования бюджетных проектировок (бюджета);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4) положения, соответствующие другим положениям Общих требований к порядку составления, ведения и утверждения бюджетной сметы казенного учреждения, утвержденных Министерство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 финансов Российской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Федерации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При наличии </w:t>
            </w: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подведомственных</w:t>
            </w:r>
            <w:proofErr w:type="gram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ПБС: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)=1, если правовой акт ГРБС полностью соответствует требованиям пунктов 1 – 4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графы 2 настоящего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подраздела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)=0,5, если правовой акт ГРБС не соответствует хотя бы одному из требований пунктов 1 – 4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графы 2 настоящего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подраздела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)=0, если правовой акт ГРБС не утверждён или не соответствует двум и более требованиям пунктов 1 – 4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графы 2 настоящего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подраздела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При отсутствии </w:t>
            </w: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подведомственных</w:t>
            </w:r>
            <w:proofErr w:type="gram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ПБС: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)=1, если правовой акт ГРБС полностью соответствует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требованиям пунктов 1, 3 и 4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графы 2 настоящего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подраздела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)=0,5, если правовой акт ГРБС не соответствует хотя бы одному из требований пунктов 1, 3, 4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графы 2 настоящего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подраздела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)=0, если правовой акт ГРБС не утверждён или не соответствует двум и более требованиям пунктов 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3, 4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графы 2 настоящего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подраздела</w:t>
            </w: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Показатель применяется для оценки правового обеспечения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ГРБС и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подведомственных </w:t>
            </w:r>
            <w:r>
              <w:rPr>
                <w:rFonts w:ascii="Times New Roman" w:hAnsi="Times New Roman"/>
                <w:sz w:val="24"/>
                <w:szCs w:val="24"/>
              </w:rPr>
              <w:t>ПБС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в части исполнения расходов бюджета на обеспечение выполнения функций казенных учреждений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314" w:rsidTr="00231CD0"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1.5. Качество планирования расходов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ГРБС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: количество справок об изменении сводной бюджетной росписи бюджета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Новокубанский район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и лимитов бюджетных обязательств в отчетном периоде в случае увеличения бюджетных ассигнований</w:t>
            </w:r>
          </w:p>
          <w:p w:rsidR="008D3314" w:rsidRPr="003210BB" w:rsidRDefault="008D3314" w:rsidP="008D33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proofErr w:type="gramEnd"/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количество справок-уведомлений об увеличении значений показателей сводной бюджетной росписи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Новокубанский район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и лимитов бюджетных обязательств в отчетном периоде без внесения изменений в </w:t>
            </w:r>
            <w:r>
              <w:rPr>
                <w:rFonts w:ascii="Times New Roman" w:hAnsi="Times New Roman"/>
                <w:sz w:val="24"/>
                <w:szCs w:val="24"/>
              </w:rPr>
              <w:t>решение Совета муниципального образования Новокубанский район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о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бюджете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Новокубанский район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hAnsi="Times New Roman"/>
                <w:sz w:val="24"/>
                <w:szCs w:val="24"/>
              </w:rPr>
              <w:t>текущий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финансовый год и на плановый период (далее – </w:t>
            </w:r>
            <w:r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) в соответствии с подпунктами 8 и 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пункта </w:t>
            </w:r>
            <w:r>
              <w:rPr>
                <w:rFonts w:ascii="Times New Roman" w:hAnsi="Times New Roman"/>
                <w:sz w:val="24"/>
                <w:szCs w:val="24"/>
              </w:rPr>
              <w:t>5.11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раздела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Порядка составления и ведения сводной бюджетной росписи и бюджетных росписей главных распорядителей средств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Новокубанский район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(главных администраторов </w:t>
            </w:r>
            <w:proofErr w:type="gramStart"/>
            <w:r w:rsidRPr="003210BB">
              <w:rPr>
                <w:rFonts w:ascii="Times New Roman" w:hAnsi="Times New Roman"/>
                <w:sz w:val="24"/>
                <w:szCs w:val="24"/>
              </w:rPr>
              <w:t>источников финансирования дефицита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Новокубанский район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), утвержденного приказом </w:t>
            </w:r>
            <w:r>
              <w:rPr>
                <w:rFonts w:ascii="Times New Roman" w:hAnsi="Times New Roman"/>
                <w:sz w:val="24"/>
                <w:szCs w:val="24"/>
              </w:rPr>
              <w:t>финансового управления администрации муниципального образования Новокубанский район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22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декабря 201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года № </w:t>
            </w:r>
            <w:r>
              <w:rPr>
                <w:rFonts w:ascii="Times New Roman" w:hAnsi="Times New Roman"/>
                <w:sz w:val="24"/>
                <w:szCs w:val="24"/>
              </w:rPr>
              <w:t>52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(далее – Порядок составления и вед</w:t>
            </w:r>
            <w:r>
              <w:rPr>
                <w:rFonts w:ascii="Times New Roman" w:hAnsi="Times New Roman"/>
                <w:sz w:val="24"/>
                <w:szCs w:val="24"/>
              </w:rPr>
              <w:t>ения сводной бюджетной росписи)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tabs>
                <w:tab w:val="left" w:pos="4711"/>
              </w:tabs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Для ГРБС, у которого отсутствуют подведомственные казённые, бюджетные и автономные учреждения (далее – подведомственные учреждения):</w:t>
            </w:r>
          </w:p>
          <w:p w:rsidR="008D3314" w:rsidRPr="003210BB" w:rsidRDefault="008D3314" w:rsidP="008D3314">
            <w:pPr>
              <w:tabs>
                <w:tab w:val="left" w:pos="4711"/>
              </w:tabs>
              <w:ind w:left="-53"/>
              <w:jc w:val="both"/>
              <w:rPr>
                <w:rFonts w:ascii="Times New Roman" w:hAnsi="Times New Roman"/>
                <w:snapToGrid w:val="0"/>
                <w:color w:val="000000"/>
                <w:position w:val="-46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lastRenderedPageBreak/>
              <w:t>E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)=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48"/>
                <w:sz w:val="24"/>
                <w:szCs w:val="24"/>
                <w:lang w:val="en-US"/>
              </w:rPr>
              <w:object w:dxaOrig="2100" w:dyaOrig="1080">
                <v:shape id="_x0000_i1026" type="#_x0000_t75" style="width:107.25pt;height:54pt" o:ole="" fillcolor="window">
                  <v:imagedata r:id="rId9" o:title=""/>
                </v:shape>
                <o:OLEObject Type="Embed" ProgID="Equation.3" ShapeID="_x0000_i1026" DrawAspect="Content" ObjectID="_1494933035" r:id="rId10"/>
              </w:object>
            </w:r>
          </w:p>
          <w:p w:rsidR="008D3314" w:rsidRPr="003210BB" w:rsidRDefault="008D3314" w:rsidP="008D3314">
            <w:pPr>
              <w:tabs>
                <w:tab w:val="left" w:pos="4711"/>
              </w:tabs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Для ГРБС, у которого количество подведомственных учреждений от одного до десяти:</w:t>
            </w:r>
            <w:proofErr w:type="gramEnd"/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position w:val="-46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)=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48"/>
                <w:sz w:val="24"/>
                <w:szCs w:val="24"/>
                <w:lang w:val="en-US"/>
              </w:rPr>
              <w:object w:dxaOrig="2120" w:dyaOrig="1080">
                <v:shape id="_x0000_i1027" type="#_x0000_t75" style="width:107.25pt;height:54pt" o:ole="" fillcolor="window">
                  <v:imagedata r:id="rId11" o:title=""/>
                </v:shape>
                <o:OLEObject Type="Embed" ProgID="Equation.3" ShapeID="_x0000_i1027" DrawAspect="Content" ObjectID="_1494933036" r:id="rId12"/>
              </w:object>
            </w:r>
          </w:p>
          <w:p w:rsidR="008D3314" w:rsidRPr="003210BB" w:rsidRDefault="008D3314" w:rsidP="008D3314">
            <w:pPr>
              <w:tabs>
                <w:tab w:val="left" w:pos="4711"/>
              </w:tabs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ГРБС, у </w:t>
            </w: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которого</w:t>
            </w:r>
            <w:proofErr w:type="gram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количество подведомственных учреждений от десяти до пятидесяти: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position w:val="-48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)=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48"/>
                <w:sz w:val="24"/>
                <w:szCs w:val="24"/>
                <w:lang w:val="en-US"/>
              </w:rPr>
              <w:object w:dxaOrig="2140" w:dyaOrig="1080">
                <v:shape id="_x0000_i1028" type="#_x0000_t75" style="width:116.25pt;height:55.5pt" o:ole="" fillcolor="window">
                  <v:imagedata r:id="rId13" o:title=""/>
                </v:shape>
                <o:OLEObject Type="Embed" ProgID="Equation.3" ShapeID="_x0000_i1028" DrawAspect="Content" ObjectID="_1494933037" r:id="rId14"/>
              </w:object>
            </w:r>
          </w:p>
          <w:p w:rsidR="008D3314" w:rsidRPr="003210BB" w:rsidRDefault="008D3314" w:rsidP="008D3314">
            <w:pPr>
              <w:tabs>
                <w:tab w:val="left" w:pos="4711"/>
              </w:tabs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ГРБС, у </w:t>
            </w: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которого</w:t>
            </w:r>
            <w:proofErr w:type="gram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количество подведомственных учреждений от пятидесяти до ста:</w:t>
            </w:r>
          </w:p>
          <w:p w:rsidR="008D3314" w:rsidRPr="00AD0015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position w:val="-46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)=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48"/>
                <w:sz w:val="24"/>
                <w:szCs w:val="24"/>
                <w:lang w:val="en-US"/>
              </w:rPr>
              <w:object w:dxaOrig="2220" w:dyaOrig="1080">
                <v:shape id="_x0000_i1029" type="#_x0000_t75" style="width:117.75pt;height:53.25pt" o:ole="" fillcolor="window">
                  <v:imagedata r:id="rId15" o:title=""/>
                </v:shape>
                <o:OLEObject Type="Embed" ProgID="Equation.3" ShapeID="_x0000_i1029" DrawAspect="Content" ObjectID="_1494933038" r:id="rId16"/>
              </w:object>
            </w: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Целевым ориентиром для ГРБС является отсутствие справок-уведомлений об изменении сводной бюджетной росписи краевого бюджета и лимитов бюджетных обязательств по случаям, указанным в г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рафе 2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настоящего подраздела</w:t>
            </w:r>
          </w:p>
        </w:tc>
      </w:tr>
      <w:tr w:rsidR="008D3314" w:rsidTr="00231CD0">
        <w:trPr>
          <w:trHeight w:val="439"/>
        </w:trPr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1.6. Качество планирования расходов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ГРБС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: доля суммы изменений в сводную бюджетную роспись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Новокубанский район</w:t>
            </w:r>
          </w:p>
          <w:p w:rsidR="008D3314" w:rsidRPr="003210BB" w:rsidRDefault="008D3314" w:rsidP="008D33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=(</w:t>
            </w:r>
            <w:r w:rsidRPr="003210BB">
              <w:rPr>
                <w:rFonts w:ascii="Times New Roman" w:hAnsi="Times New Roman"/>
                <w:position w:val="-10"/>
                <w:sz w:val="24"/>
                <w:szCs w:val="24"/>
                <w:lang w:val="en-US"/>
              </w:rPr>
              <w:object w:dxaOrig="300" w:dyaOrig="340">
                <v:shape id="_x0000_i1030" type="#_x0000_t75" style="width:15pt;height:16.5pt" o:ole="" fillcolor="window">
                  <v:imagedata r:id="rId17" o:title=""/>
                </v:shape>
                <o:OLEObject Type="Embed" ProgID="Equation.3" ShapeID="_x0000_i1030" DrawAspect="Content" ObjectID="_1494933039" r:id="rId18"/>
              </w:object>
            </w:r>
            <w:r w:rsidRPr="003210BB">
              <w:rPr>
                <w:rFonts w:ascii="Times New Roman" w:hAnsi="Times New Roman"/>
                <w:sz w:val="24"/>
                <w:szCs w:val="24"/>
              </w:rPr>
              <w:t>/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)х100, где: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l</w:t>
            </w:r>
            <w:proofErr w:type="spellEnd"/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сумма положительных изменений показателей сводной бюджетной росписи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Новокубанский район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и лимитов бюджетных обязательств в отчетном периоде без внесения изменений в </w:t>
            </w:r>
            <w:r>
              <w:rPr>
                <w:rFonts w:ascii="Times New Roman" w:hAnsi="Times New Roman"/>
                <w:sz w:val="24"/>
                <w:szCs w:val="24"/>
              </w:rPr>
              <w:t>решение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в соответствии с подпунктами 8 и </w:t>
            </w: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пункта </w:t>
            </w:r>
            <w:r>
              <w:rPr>
                <w:rFonts w:ascii="Times New Roman" w:hAnsi="Times New Roman"/>
                <w:sz w:val="24"/>
                <w:szCs w:val="24"/>
              </w:rPr>
              <w:t>5.11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раздела 5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Порядка составления и ведения сводной бюджетной росписи;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b – объем бюджетных ассигнований ГРБС согласно сводной бюджетной росписи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Новокубанский район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с учетом внесенных в нее изменений по состоянию на конец отчетного перио</w:t>
            </w: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)=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52"/>
                <w:sz w:val="24"/>
                <w:szCs w:val="24"/>
                <w:lang w:val="en-US"/>
              </w:rPr>
              <w:object w:dxaOrig="2780" w:dyaOrig="1160">
                <v:shape id="_x0000_i1031" type="#_x0000_t75" style="width:132pt;height:57.75pt" o:ole="" fillcolor="window">
                  <v:imagedata r:id="rId19" o:title=""/>
                </v:shape>
                <o:OLEObject Type="Embed" ProgID="Equation.3" ShapeID="_x0000_i1031" DrawAspect="Content" ObjectID="_1494933040" r:id="rId20"/>
              </w:objec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52"/>
                <w:sz w:val="24"/>
                <w:szCs w:val="24"/>
              </w:rPr>
              <w:t>,</w:t>
            </w: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10BB">
              <w:rPr>
                <w:rFonts w:ascii="Times New Roman" w:hAnsi="Times New Roman"/>
                <w:sz w:val="24"/>
                <w:szCs w:val="24"/>
              </w:rPr>
              <w:t>Значительная сумма положительных изменений показателей сводной бюджетной росписи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Новокубанский район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и лимитов бюджетных обязательств в случаях, указанных в графе 2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настоящего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подраздела, в объеме бюджетных ассигнований ГРБС согласно сводной бюджетной росписи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Новокубанский район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с учетом внесенных в нее изменений по состоянию на конец отчетного периода свидетельствует о низком качестве работы ГРБС по финансовому плани</w:t>
            </w:r>
            <w:r>
              <w:rPr>
                <w:rFonts w:ascii="Times New Roman" w:hAnsi="Times New Roman"/>
                <w:sz w:val="24"/>
                <w:szCs w:val="24"/>
              </w:rPr>
              <w:t>рованию</w:t>
            </w:r>
            <w:proofErr w:type="gramEnd"/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Целевым ориентиром для ГРБС является значение показателя, равное </w:t>
            </w:r>
            <w:r>
              <w:rPr>
                <w:rFonts w:ascii="Times New Roman" w:hAnsi="Times New Roman"/>
                <w:sz w:val="24"/>
                <w:szCs w:val="24"/>
              </w:rPr>
              <w:t>нулю</w:t>
            </w:r>
          </w:p>
        </w:tc>
      </w:tr>
      <w:tr w:rsidR="008D3314" w:rsidTr="00231CD0"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1.7. Качество со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тавления прогнозных показателей исполнения бюджетных обязательств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ГРБС</w:t>
            </w:r>
          </w:p>
          <w:p w:rsidR="008D3314" w:rsidRPr="003210BB" w:rsidRDefault="008D3314" w:rsidP="008D33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10B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общее количество заявок по изменению кассового плана в части расходов путём корректировки помесячного распределения кассовых расходов в пределах их соответствующего общего объёма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отчётном финансовом году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tabs>
                <w:tab w:val="left" w:pos="4711"/>
              </w:tabs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Для ГРБС, у которого отсутствуют подведомственные учреждения:</w:t>
            </w:r>
            <w:proofErr w:type="gramEnd"/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)=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48"/>
                <w:sz w:val="24"/>
                <w:szCs w:val="24"/>
                <w:lang w:val="en-US"/>
              </w:rPr>
              <w:object w:dxaOrig="2280" w:dyaOrig="1080">
                <v:shape id="_x0000_i1032" type="#_x0000_t75" style="width:135pt;height:53.25pt" o:ole="" fillcolor="window">
                  <v:imagedata r:id="rId21" o:title=""/>
                </v:shape>
                <o:OLEObject Type="Embed" ProgID="Equation.3" ShapeID="_x0000_i1032" DrawAspect="Content" ObjectID="_1494933041" r:id="rId22"/>
              </w:object>
            </w:r>
          </w:p>
          <w:p w:rsidR="008D3314" w:rsidRPr="003210BB" w:rsidRDefault="008D3314" w:rsidP="008D3314">
            <w:pPr>
              <w:tabs>
                <w:tab w:val="left" w:pos="4711"/>
              </w:tabs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Для ГРБС, у которого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количество подведомственных учреждений от одного до десяти:</w:t>
            </w:r>
            <w:proofErr w:type="gramEnd"/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)=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48"/>
                <w:sz w:val="24"/>
                <w:szCs w:val="24"/>
                <w:lang w:val="en-US"/>
              </w:rPr>
              <w:object w:dxaOrig="2299" w:dyaOrig="1080">
                <v:shape id="_x0000_i1033" type="#_x0000_t75" style="width:137.25pt;height:59.25pt" o:ole="" fillcolor="window">
                  <v:imagedata r:id="rId23" o:title=""/>
                </v:shape>
                <o:OLEObject Type="Embed" ProgID="Equation.3" ShapeID="_x0000_i1033" DrawAspect="Content" ObjectID="_1494933042" r:id="rId24"/>
              </w:object>
            </w:r>
          </w:p>
          <w:p w:rsidR="008D3314" w:rsidRPr="003210BB" w:rsidRDefault="008D3314" w:rsidP="008D3314">
            <w:pPr>
              <w:tabs>
                <w:tab w:val="left" w:pos="4711"/>
              </w:tabs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ГРБС, у </w:t>
            </w: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которого</w:t>
            </w:r>
            <w:proofErr w:type="gram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количество подведомственных учреждений от десяти до пятидесяти: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)=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48"/>
                <w:sz w:val="24"/>
                <w:szCs w:val="24"/>
                <w:lang w:val="en-US"/>
              </w:rPr>
              <w:object w:dxaOrig="2340" w:dyaOrig="1080">
                <v:shape id="_x0000_i1034" type="#_x0000_t75" style="width:132pt;height:53.25pt" o:ole="" fillcolor="window">
                  <v:imagedata r:id="rId25" o:title=""/>
                </v:shape>
                <o:OLEObject Type="Embed" ProgID="Equation.3" ShapeID="_x0000_i1034" DrawAspect="Content" ObjectID="_1494933043" r:id="rId26"/>
              </w:object>
            </w:r>
          </w:p>
          <w:p w:rsidR="008D3314" w:rsidRPr="003210BB" w:rsidRDefault="008D3314" w:rsidP="008D3314">
            <w:pPr>
              <w:tabs>
                <w:tab w:val="left" w:pos="4711"/>
              </w:tabs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ГРБС, у </w:t>
            </w: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которого</w:t>
            </w:r>
            <w:proofErr w:type="gram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количество подведомственных учреждений от пятидесяти до ста: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lastRenderedPageBreak/>
              <w:t>E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)=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46"/>
                <w:sz w:val="24"/>
                <w:szCs w:val="24"/>
                <w:lang w:val="en-US"/>
              </w:rPr>
              <w:object w:dxaOrig="2500" w:dyaOrig="1040">
                <v:shape id="_x0000_i1035" type="#_x0000_t75" style="width:133.5pt;height:51.75pt" o:ole="" fillcolor="window">
                  <v:imagedata r:id="rId27" o:title=""/>
                </v:shape>
                <o:OLEObject Type="Embed" ProgID="Equation.3" ShapeID="_x0000_i1035" DrawAspect="Content" ObjectID="_1494933044" r:id="rId28"/>
              </w:object>
            </w: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Показатель характеризует качество составления кассового плана в части касс</w:t>
            </w:r>
            <w:r>
              <w:rPr>
                <w:rFonts w:ascii="Times New Roman" w:hAnsi="Times New Roman"/>
                <w:sz w:val="24"/>
                <w:szCs w:val="24"/>
              </w:rPr>
              <w:t>овых выплат из бюджета муниципального образования Новокубанский район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Большое количество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справок об изменении кассового плана в части кассовых выплат свидетельствует о низком качестве работы ГРБС по финансовому планиров</w:t>
            </w:r>
            <w:r>
              <w:rPr>
                <w:rFonts w:ascii="Times New Roman" w:hAnsi="Times New Roman"/>
                <w:sz w:val="24"/>
                <w:szCs w:val="24"/>
              </w:rPr>
              <w:t>анию в отчетном финансовом году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Целевым ориентиром для ГРБС является отсутствие справок об изменении кассовог</w:t>
            </w:r>
            <w:r>
              <w:rPr>
                <w:rFonts w:ascii="Times New Roman" w:hAnsi="Times New Roman"/>
                <w:sz w:val="24"/>
                <w:szCs w:val="24"/>
              </w:rPr>
              <w:t>о плана в части кассовых выплат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314" w:rsidTr="00231CD0">
        <w:tc>
          <w:tcPr>
            <w:tcW w:w="2309" w:type="pct"/>
            <w:gridSpan w:val="2"/>
          </w:tcPr>
          <w:p w:rsidR="008D3314" w:rsidRPr="003210BB" w:rsidRDefault="008D3314" w:rsidP="008D3314">
            <w:pPr>
              <w:ind w:left="-53"/>
              <w:rPr>
                <w:rFonts w:ascii="Times New Roman" w:hAnsi="Times New Roman"/>
                <w:b/>
                <w:sz w:val="24"/>
                <w:szCs w:val="24"/>
              </w:rPr>
            </w:pPr>
            <w:r w:rsidRPr="003210B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2.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68215D">
              <w:rPr>
                <w:rFonts w:ascii="Times New Roman" w:hAnsi="Times New Roman"/>
                <w:b/>
                <w:sz w:val="24"/>
                <w:szCs w:val="24"/>
              </w:rPr>
              <w:t>сполнение бюджета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муниципального образования Новокубанский район</w:t>
            </w:r>
            <w:r w:rsidRPr="0068215D">
              <w:rPr>
                <w:rFonts w:ascii="Times New Roman" w:hAnsi="Times New Roman"/>
                <w:b/>
                <w:sz w:val="24"/>
                <w:szCs w:val="24"/>
              </w:rPr>
              <w:t xml:space="preserve"> в части доходов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0BB">
              <w:rPr>
                <w:rFonts w:ascii="Times New Roman" w:hAnsi="Times New Roman"/>
                <w:b/>
                <w:sz w:val="24"/>
                <w:szCs w:val="24"/>
              </w:rPr>
              <w:t>23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3314" w:rsidTr="00231CD0"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2.1. Качество правовой базы главного администратора доходов бюджета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муниципального образования Новокубанский район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(далее – ГАДБ) по администрированию доходов бюджета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муниципального образования Новокубанский район</w:t>
            </w:r>
          </w:p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Наличие правовых актов ГАДБ, содержащих: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1) установление источников доходов  бюджета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муниципального образования Новокубанский район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, </w:t>
            </w: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полномочия</w:t>
            </w:r>
            <w:proofErr w:type="gram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по администрированию которых они осуществляют;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2) методику расчета прогнозных значений администрируемых доходов бюджета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муниципального образования Новокубанский район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3)определение порядка заполнения (составления) и отражения в бюджетном учете первичных документов по администрируемым доходам бюджета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муниципального образования Новокубанский район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или указание нормативных правовых актов РФ, регулирующих данные вопросы;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4) определение порядка и сроков сверки данных бюджетного учета администрируемых доходов бюджета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муниципального образования Новокубанский район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в соответствии с нормативными правовыми актами Российской Федерации;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5) определение </w:t>
            </w: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порядка действий администраторов доходов бюджета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муниципального образования</w:t>
            </w:r>
            <w:proofErr w:type="gramEnd"/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Новокубанский район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при уточнении невыясненных поступлений;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6) определение </w:t>
            </w: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порядка действий администраторов доходов бюджета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муниципального образования</w:t>
            </w:r>
            <w:proofErr w:type="gramEnd"/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Новокубанский район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, при возврате излишне уплаченных (взысканных)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платежей в бюджет, пеней и штрафов;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7) определение порядка действий администраторов при принудительном взыскании с плательщика платежей в бюджет, пеней и штрафов по ним.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Данный показатель не оценивается в отношении подгрупп доходов: 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1 13 00000 00 0000 000 - доходы от оказания платных услуг (работ) и компенсации затрат государства;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1 16 90000 00 0000 140 - прочие поступления от денежных взысканий (штрафов) и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иных сумм в возмещение ущерба;</w:t>
            </w:r>
          </w:p>
          <w:p w:rsidR="008D3314" w:rsidRPr="003210BB" w:rsidRDefault="008D3314" w:rsidP="008D3314">
            <w:pPr>
              <w:ind w:left="-53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1 17 00000 00 0000 000 - прочие неналоговые доходы;</w:t>
            </w:r>
          </w:p>
          <w:p w:rsidR="008D3314" w:rsidRPr="003210BB" w:rsidRDefault="008D3314" w:rsidP="008D3314">
            <w:pPr>
              <w:ind w:left="-53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2 00 00000 00 0000 000 - безвозмезд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ные поступления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E(P)=1, если правовой акт ГАДБ полностью соответствует требованиям пунктов 1 – 7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графы 2 настоящего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подраздела;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E(P)=0,5, если правовой акт ГАДБ не соответствует одному из требований пунктов 1 – 7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графы 2 настоящего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подраздела;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E(P)=0, если правовой акт ГАДБ не соответствует двум и более требованиям пунктов 1 – 7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графы 2 настоящего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подраздела</w:t>
            </w: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Показатель применяется для оценки правового </w:t>
            </w: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обеспечения деятельности администраторов доходов бюджета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муниципального образования</w:t>
            </w:r>
            <w:proofErr w:type="gramEnd"/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Новокубанский район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по осуществлению контроля за правильностью исчисления, полнотой и своевременностью уплаты, начисления, учета, взыскания и принятия решений о возврате (зачете) излишне уплаченных (взысканных) платежей, пеней и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штрафов по ним, являющихся доходами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бюджета муниципального образования Новокубанский район</w:t>
            </w:r>
          </w:p>
        </w:tc>
      </w:tr>
      <w:tr w:rsidR="008D3314" w:rsidRPr="005D0366" w:rsidTr="00231CD0">
        <w:trPr>
          <w:trHeight w:val="581"/>
        </w:trPr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2.2. Качество администрирования до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ходов по возврату из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бюджета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муниципального образования Новокубанский район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неиспользованных остатков межбюджетных трансфертов, имеющих целевое назначение (далее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–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целевых остатков </w:t>
            </w:r>
            <w:bookmarkStart w:id="1" w:name="OLE_LINK1"/>
            <w:bookmarkStart w:id="2" w:name="OLE_LINK2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прошлых лет</w:t>
            </w:r>
            <w:bookmarkEnd w:id="1"/>
            <w:bookmarkEnd w:id="2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,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краевой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бюджет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(федеральные средства)</w:t>
            </w:r>
          </w:p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=(</w:t>
            </w:r>
            <w:proofErr w:type="spellStart"/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3210BB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1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p</w:t>
            </w:r>
            <w:proofErr w:type="spellEnd"/>
            <w:r w:rsidRPr="003210BB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)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100, где: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proofErr w:type="spellStart"/>
            <w:r w:rsidRPr="003210BB">
              <w:rPr>
                <w:rFonts w:ascii="Times New Roman" w:hAnsi="Times New Roman"/>
                <w:position w:val="-6"/>
                <w:sz w:val="24"/>
                <w:szCs w:val="24"/>
                <w:lang w:val="en-US"/>
              </w:rPr>
              <w:t>R</w:t>
            </w:r>
            <w:r w:rsidRPr="003210BB">
              <w:rPr>
                <w:rFonts w:ascii="Times New Roman" w:hAnsi="Times New Roman"/>
                <w:position w:val="-6"/>
                <w:sz w:val="24"/>
                <w:szCs w:val="24"/>
                <w:vertAlign w:val="subscript"/>
                <w:lang w:val="en-US"/>
              </w:rPr>
              <w:t>p</w:t>
            </w:r>
            <w:proofErr w:type="spellEnd"/>
            <w:r w:rsidRPr="003210BB">
              <w:rPr>
                <w:rFonts w:ascii="Times New Roman" w:hAnsi="Times New Roman"/>
                <w:position w:val="-6"/>
                <w:sz w:val="24"/>
                <w:szCs w:val="24"/>
                <w:vertAlign w:val="subscript"/>
              </w:rPr>
              <w:t xml:space="preserve">1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– объемы доходов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по возврату целевых остатков прошлых лет в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краевой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бюджет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по сроку возврата в течение первых 15 рабочих дней отчётного финансового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года по данным Отчёта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 (ф. 0503324), составленного в соответствии с письмом Федерального казначейства от 11 декабря 2012 года № 42-7.4-05/2.1-704 (далее - Отчет ф. 0503324);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proofErr w:type="spellStart"/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3210BB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кассовое исполнение по доходам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по возврату целевых остатков прошлых лет в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краевой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бюджет по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сроку возврата в течение первых 15 рабочих дней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отчётного финансового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года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Е(</w:t>
            </w:r>
            <w:proofErr w:type="gram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Р)=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34"/>
                <w:sz w:val="24"/>
                <w:szCs w:val="24"/>
                <w:lang w:val="en-US"/>
              </w:rPr>
              <w:object w:dxaOrig="2000" w:dyaOrig="800">
                <v:shape id="_x0000_i1036" type="#_x0000_t75" style="width:105.75pt;height:37.5pt" o:ole="" fillcolor="window">
                  <v:imagedata r:id="rId29" o:title=""/>
                </v:shape>
                <o:OLEObject Type="Embed" ProgID="Equation.3" ShapeID="_x0000_i1036" DrawAspect="Content" ObjectID="_1494933045" r:id="rId30"/>
              </w:object>
            </w:r>
          </w:p>
          <w:p w:rsidR="008D3314" w:rsidRPr="003210BB" w:rsidRDefault="008D3314" w:rsidP="008D3314">
            <w:pPr>
              <w:tabs>
                <w:tab w:val="left" w:pos="1300"/>
              </w:tabs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Показатель применяется для оценки качества администрирования доходов по возврату целевых остатков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прошлых лет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краевой бюджет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Целевым ориентиром для ГАДБ является значение показателя, рав</w:t>
            </w:r>
            <w:r>
              <w:rPr>
                <w:rFonts w:ascii="Times New Roman" w:hAnsi="Times New Roman"/>
                <w:sz w:val="24"/>
                <w:szCs w:val="24"/>
              </w:rPr>
              <w:t>ное 100%</w:t>
            </w:r>
          </w:p>
        </w:tc>
      </w:tr>
      <w:tr w:rsidR="008D3314" w:rsidRPr="005D0366" w:rsidTr="00231CD0">
        <w:trPr>
          <w:trHeight w:val="3953"/>
        </w:trPr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2.3. Качество администрирования доходов от возврата целевых остатков прошлых лет из  бюджет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а муниципального образования Новокубанский район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в краевой бюджет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(средства краевого бюджета)</w:t>
            </w:r>
          </w:p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=(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3210BB">
              <w:rPr>
                <w:rFonts w:ascii="Times New Roman" w:hAnsi="Times New Roman"/>
                <w:bCs/>
                <w:sz w:val="24"/>
                <w:szCs w:val="24"/>
                <w:vertAlign w:val="subscript"/>
              </w:rPr>
              <w:t>j1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/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</w:rPr>
              <w:t>p1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)х100, где: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R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</w:rPr>
              <w:t>p1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объемы доходов от возврата целевых остатков прошлых лет из бюджет</w:t>
            </w:r>
            <w:r>
              <w:rPr>
                <w:rFonts w:ascii="Times New Roman" w:hAnsi="Times New Roman"/>
                <w:sz w:val="24"/>
                <w:szCs w:val="24"/>
              </w:rPr>
              <w:t>а муниципального образования Новокубанский район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в краевой бюджет по ГАДБ по сроку возврата до 1 февраля отчётного финансового года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 данным Отчета ф. 0503324;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R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</w:rPr>
              <w:t>j1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кассовое исполнение по доходам от возврата целевых остатков прошлых лет из 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юджет</w:t>
            </w:r>
            <w:r>
              <w:rPr>
                <w:rFonts w:ascii="Times New Roman" w:hAnsi="Times New Roman"/>
                <w:sz w:val="24"/>
                <w:szCs w:val="24"/>
              </w:rPr>
              <w:t>а муниципального образования Новокубанский район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в краевой бюджет по сроку возврата до 1 февраля отчётного финансового года по состоянию на 31 января от</w:t>
            </w:r>
            <w:r>
              <w:rPr>
                <w:rFonts w:ascii="Times New Roman" w:hAnsi="Times New Roman"/>
                <w:sz w:val="24"/>
                <w:szCs w:val="24"/>
              </w:rPr>
              <w:t>чётного финансового года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Е(</w:t>
            </w:r>
            <w:proofErr w:type="gram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Р)=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34"/>
                <w:sz w:val="24"/>
                <w:szCs w:val="24"/>
                <w:lang w:val="en-US"/>
              </w:rPr>
              <w:object w:dxaOrig="2000" w:dyaOrig="800">
                <v:shape id="_x0000_i1037" type="#_x0000_t75" style="width:105.75pt;height:37.5pt" o:ole="" fillcolor="window">
                  <v:imagedata r:id="rId29" o:title=""/>
                </v:shape>
                <o:OLEObject Type="Embed" ProgID="Equation.3" ShapeID="_x0000_i1037" DrawAspect="Content" ObjectID="_1494933046" r:id="rId31"/>
              </w:object>
            </w:r>
          </w:p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Показатель применяется для оценки качества администрирования доходов от возврата целевых остатков из </w:t>
            </w:r>
            <w:r>
              <w:rPr>
                <w:rFonts w:ascii="Times New Roman" w:hAnsi="Times New Roman"/>
                <w:sz w:val="24"/>
                <w:szCs w:val="24"/>
              </w:rPr>
              <w:t>бюджета муниципального образования Новокубанский район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Целевым ориентиром для ГАДБ является зна</w:t>
            </w:r>
            <w:r>
              <w:rPr>
                <w:rFonts w:ascii="Times New Roman" w:hAnsi="Times New Roman"/>
                <w:sz w:val="24"/>
                <w:szCs w:val="24"/>
              </w:rPr>
              <w:t>чение показателя 100%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314" w:rsidRPr="005D0366" w:rsidTr="00231CD0">
        <w:trPr>
          <w:trHeight w:val="4125"/>
        </w:trPr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Эффективность управления ГРБС дебиторской задолженностью по расчётам с дебиторами</w:t>
            </w:r>
          </w:p>
          <w:p w:rsidR="008D3314" w:rsidRPr="003210BB" w:rsidRDefault="008D3314" w:rsidP="008D33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=(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/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A43232">
              <w:rPr>
                <w:rFonts w:ascii="Times New Roman" w:hAnsi="Times New Roman"/>
                <w:sz w:val="24"/>
                <w:szCs w:val="24"/>
                <w:vertAlign w:val="subscript"/>
              </w:rPr>
              <w:t>к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)х100, где: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объём дебиторской задолженности ГРБС и подведомственных </w:t>
            </w:r>
            <w:r>
              <w:rPr>
                <w:rFonts w:ascii="Times New Roman" w:hAnsi="Times New Roman"/>
                <w:sz w:val="24"/>
                <w:szCs w:val="24"/>
              </w:rPr>
              <w:t>ПБС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по расчётам с дебиторами по состоянию на 1 января года, следующего за отчётным;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A43232">
              <w:rPr>
                <w:rFonts w:ascii="Times New Roman" w:hAnsi="Times New Roman"/>
                <w:sz w:val="24"/>
                <w:szCs w:val="24"/>
                <w:vertAlign w:val="subscript"/>
              </w:rPr>
              <w:t>к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кассовое исполнение расходов ГРБС и подведомственных </w:t>
            </w:r>
            <w:r>
              <w:rPr>
                <w:rFonts w:ascii="Times New Roman" w:hAnsi="Times New Roman"/>
                <w:sz w:val="24"/>
                <w:szCs w:val="24"/>
              </w:rPr>
              <w:t>ПБС в отчетном финансовом году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)=1, если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position w:val="-4"/>
                <w:sz w:val="24"/>
                <w:szCs w:val="24"/>
              </w:rPr>
              <w:object w:dxaOrig="200" w:dyaOrig="240">
                <v:shape id="_x0000_i1038" type="#_x0000_t75" style="width:10.5pt;height:12pt" o:ole="">
                  <v:imagedata r:id="rId32" o:title=""/>
                </v:shape>
                <o:OLEObject Type="Embed" ProgID="Equation.3" ShapeID="_x0000_i1038" DrawAspect="Content" ObjectID="_1494933047" r:id="rId33"/>
              </w:object>
            </w:r>
            <w:r w:rsidRPr="003210BB">
              <w:rPr>
                <w:rFonts w:ascii="Times New Roman" w:hAnsi="Times New Roman"/>
                <w:sz w:val="24"/>
                <w:szCs w:val="24"/>
              </w:rPr>
              <w:t>5%;</w:t>
            </w:r>
          </w:p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)=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52"/>
                <w:sz w:val="24"/>
                <w:szCs w:val="24"/>
                <w:lang w:val="en-US"/>
              </w:rPr>
              <w:object w:dxaOrig="3379" w:dyaOrig="1160">
                <v:shape id="_x0000_i1039" type="#_x0000_t75" style="width:163.5pt;height:56.25pt" o:ole="" fillcolor="window">
                  <v:imagedata r:id="rId34" o:title=""/>
                </v:shape>
                <o:OLEObject Type="Embed" ProgID="Equation.3" ShapeID="_x0000_i1039" DrawAspect="Content" ObjectID="_1494933048" r:id="rId35"/>
              </w:object>
            </w:r>
            <w:r>
              <w:rPr>
                <w:rFonts w:ascii="Times New Roman" w:hAnsi="Times New Roman"/>
                <w:snapToGrid w:val="0"/>
                <w:color w:val="000000"/>
                <w:position w:val="-52"/>
                <w:sz w:val="24"/>
                <w:szCs w:val="24"/>
              </w:rPr>
              <w:t>,</w:t>
            </w: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Негативным считается факт накопления значительного объёма дебиторской задолженности по расчётам с дебиторами по состоянию на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1 января года, следующего </w:t>
            </w:r>
            <w:proofErr w:type="gramStart"/>
            <w:r w:rsidRPr="003210BB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отчётным, по отношению к кассовому исполнению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расходов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ГРБС и подведомствен</w:t>
            </w:r>
            <w:r>
              <w:rPr>
                <w:rFonts w:ascii="Times New Roman" w:hAnsi="Times New Roman"/>
                <w:sz w:val="24"/>
                <w:szCs w:val="24"/>
              </w:rPr>
              <w:t>ных ПБС в отчётном финансовом году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Целевым ориентиром для ГРБС является значение показателя, рав</w:t>
            </w:r>
            <w:r>
              <w:rPr>
                <w:rFonts w:ascii="Times New Roman" w:hAnsi="Times New Roman"/>
                <w:sz w:val="24"/>
                <w:szCs w:val="24"/>
              </w:rPr>
              <w:t>ное нулю</w:t>
            </w:r>
          </w:p>
        </w:tc>
      </w:tr>
      <w:tr w:rsidR="008D3314" w:rsidRPr="005D0366" w:rsidTr="00231CD0">
        <w:tc>
          <w:tcPr>
            <w:tcW w:w="2309" w:type="pct"/>
            <w:gridSpan w:val="2"/>
          </w:tcPr>
          <w:p w:rsidR="008D3314" w:rsidRPr="003210BB" w:rsidRDefault="008D3314" w:rsidP="008D3314">
            <w:pPr>
              <w:ind w:left="-53"/>
              <w:rPr>
                <w:rFonts w:ascii="Times New Roman" w:hAnsi="Times New Roman"/>
                <w:b/>
                <w:sz w:val="24"/>
                <w:szCs w:val="24"/>
              </w:rPr>
            </w:pPr>
            <w:r w:rsidRPr="003210BB">
              <w:rPr>
                <w:rFonts w:ascii="Times New Roman" w:hAnsi="Times New Roman"/>
                <w:b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</w:t>
            </w:r>
            <w:r w:rsidRPr="00D06863">
              <w:rPr>
                <w:rFonts w:ascii="Times New Roman" w:hAnsi="Times New Roman"/>
                <w:b/>
                <w:sz w:val="24"/>
                <w:szCs w:val="24"/>
              </w:rPr>
              <w:t xml:space="preserve">сполнение бюджета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муниципального образования Новокубанский район </w:t>
            </w:r>
            <w:r w:rsidRPr="00D06863">
              <w:rPr>
                <w:rFonts w:ascii="Times New Roman" w:hAnsi="Times New Roman"/>
                <w:b/>
                <w:sz w:val="24"/>
                <w:szCs w:val="24"/>
              </w:rPr>
              <w:t>в части расходов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0BB">
              <w:rPr>
                <w:rFonts w:ascii="Times New Roman" w:hAnsi="Times New Roman"/>
                <w:b/>
                <w:sz w:val="24"/>
                <w:szCs w:val="24"/>
              </w:rPr>
              <w:t>22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314" w:rsidRPr="005D0366" w:rsidTr="00231CD0">
        <w:trPr>
          <w:trHeight w:val="3386"/>
        </w:trPr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3.1. Качество осуществления равномерности расходов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ГРБС</w:t>
            </w:r>
          </w:p>
          <w:p w:rsidR="008D3314" w:rsidRPr="003210BB" w:rsidRDefault="008D3314" w:rsidP="008D33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P=(Е</w:t>
            </w:r>
            <w:proofErr w:type="gramStart"/>
            <w:r w:rsidRPr="003210BB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proofErr w:type="gramEnd"/>
            <w:r w:rsidRPr="003210BB">
              <w:rPr>
                <w:rFonts w:ascii="Times New Roman" w:hAnsi="Times New Roman"/>
                <w:sz w:val="24"/>
                <w:szCs w:val="24"/>
              </w:rPr>
              <w:t>/Е)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100, где: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Е</w:t>
            </w:r>
            <w:proofErr w:type="gramStart"/>
            <w:r w:rsidRPr="003210BB">
              <w:rPr>
                <w:rFonts w:ascii="Times New Roman" w:hAnsi="Times New Roman"/>
                <w:sz w:val="24"/>
                <w:szCs w:val="24"/>
                <w:vertAlign w:val="subscript"/>
              </w:rPr>
              <w:t>4</w:t>
            </w:r>
            <w:proofErr w:type="gramEnd"/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кассовые расходы в IV квартале отчетного периода;</w:t>
            </w:r>
          </w:p>
          <w:p w:rsidR="008D3314" w:rsidRPr="003210BB" w:rsidRDefault="008D3314" w:rsidP="008D3314">
            <w:pPr>
              <w:ind w:left="-53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Е – кассовое исполнение расходов </w:t>
            </w:r>
            <w:r>
              <w:rPr>
                <w:rFonts w:ascii="Times New Roman" w:hAnsi="Times New Roman"/>
                <w:sz w:val="24"/>
                <w:szCs w:val="24"/>
              </w:rPr>
              <w:t>ГРБС в отчетном финансовом году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)=</w:t>
            </w:r>
          </w:p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position w:val="-74"/>
                <w:sz w:val="24"/>
                <w:szCs w:val="24"/>
                <w:lang w:val="en-US"/>
              </w:rPr>
              <w:object w:dxaOrig="3739" w:dyaOrig="1600">
                <v:shape id="_x0000_i1040" type="#_x0000_t75" style="width:170.25pt;height:77.25pt" o:ole="" fillcolor="window">
                  <v:imagedata r:id="rId36" o:title=""/>
                </v:shape>
                <o:OLEObject Type="Embed" ProgID="Equation.3" ShapeID="_x0000_i1040" DrawAspect="Content" ObjectID="_1494933049" r:id="rId37"/>
              </w:object>
            </w: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Показатель отражает качество осуществления расходов ГРБС в отчет</w:t>
            </w:r>
            <w:r>
              <w:rPr>
                <w:rFonts w:ascii="Times New Roman" w:hAnsi="Times New Roman"/>
                <w:sz w:val="24"/>
                <w:szCs w:val="24"/>
              </w:rPr>
              <w:t>ном финансовом году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Целевым ориентиром для ГРБС является значение показателя, при котором кассовые расходы в четвертом квартале отчетного периода не превышают 40% го</w:t>
            </w:r>
            <w:r>
              <w:rPr>
                <w:rFonts w:ascii="Times New Roman" w:hAnsi="Times New Roman"/>
                <w:sz w:val="24"/>
                <w:szCs w:val="24"/>
              </w:rPr>
              <w:t>довых расходов ГРБС</w:t>
            </w:r>
          </w:p>
        </w:tc>
      </w:tr>
      <w:tr w:rsidR="008D3314" w:rsidRPr="005D0366" w:rsidTr="00231CD0">
        <w:trPr>
          <w:trHeight w:val="439"/>
        </w:trPr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3.2. Качество помесячного исполнения кассового плана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ГРБС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в части расходов с учётом прогнозных значений</w:t>
            </w:r>
          </w:p>
          <w:p w:rsidR="008D3314" w:rsidRPr="003210BB" w:rsidRDefault="008D3314" w:rsidP="008D3314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10B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210BB">
              <w:rPr>
                <w:rFonts w:ascii="Times New Roman" w:hAnsi="Times New Roman"/>
                <w:sz w:val="24"/>
                <w:szCs w:val="24"/>
              </w:rPr>
              <w:t>=((∑l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)/12)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100, где: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l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j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показатель исполнения кассового плана за каждый месяц отчетного года: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l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3210BB">
              <w:rPr>
                <w:rFonts w:ascii="Times New Roman" w:hAnsi="Times New Roman"/>
                <w:sz w:val="24"/>
                <w:szCs w:val="24"/>
              </w:rPr>
              <w:t>=</w:t>
            </w:r>
            <w:proofErr w:type="spellStart"/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3210B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3210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3210BB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– прогнозное значение исполнения кассового плана ГРБС по кассовым выплатам с учётом внесённых в него изменений за каждый месяц отчётного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года;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j</w:t>
            </w:r>
            <w:proofErr w:type="spellEnd"/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кассовое исполнение расходов ГРБС за каждый месяц отчётного го</w:t>
            </w:r>
            <w:r>
              <w:rPr>
                <w:rFonts w:ascii="Times New Roman" w:hAnsi="Times New Roman"/>
                <w:sz w:val="24"/>
                <w:szCs w:val="24"/>
              </w:rPr>
              <w:t>да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При этом</w:t>
            </w:r>
            <w:proofErr w:type="gramStart"/>
            <w:r w:rsidRPr="003210BB">
              <w:rPr>
                <w:rFonts w:ascii="Times New Roman" w:hAnsi="Times New Roman"/>
                <w:sz w:val="24"/>
                <w:szCs w:val="24"/>
              </w:rPr>
              <w:t>,</w:t>
            </w:r>
            <w:proofErr w:type="gramEnd"/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если 1 ≤ l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j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, то показатель исполнения кассового плана (l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j</w:t>
            </w:r>
            <w:r>
              <w:rPr>
                <w:rFonts w:ascii="Times New Roman" w:hAnsi="Times New Roman"/>
                <w:sz w:val="24"/>
                <w:szCs w:val="24"/>
              </w:rPr>
              <w:t>)=1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)=</w:t>
            </w:r>
          </w:p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napToGrid w:val="0"/>
                <w:color w:val="000000"/>
                <w:position w:val="-34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position w:val="-68"/>
                <w:sz w:val="24"/>
                <w:szCs w:val="24"/>
                <w:lang w:val="en-US"/>
              </w:rPr>
              <w:object w:dxaOrig="3340" w:dyaOrig="1480">
                <v:shape id="_x0000_i1041" type="#_x0000_t75" style="width:166.5pt;height:71.25pt" o:ole="" fillcolor="window">
                  <v:imagedata r:id="rId38" o:title=""/>
                </v:shape>
                <o:OLEObject Type="Embed" ProgID="Equation.3" ShapeID="_x0000_i1041" DrawAspect="Content" ObjectID="_1494933050" r:id="rId39"/>
              </w:objec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34"/>
                <w:sz w:val="24"/>
                <w:szCs w:val="24"/>
              </w:rPr>
              <w:t>,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Показатель характеризует качество составления прогноза кассового плана в части расходов и его помесячное исполнение. Оцениваются отклонения исполнения кассовых выплат от прогнозных значений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 каждый месяц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отчётного года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Целевым ориентиром для ГРБС является значение показателя, рав</w:t>
            </w:r>
            <w:r>
              <w:rPr>
                <w:rFonts w:ascii="Times New Roman" w:hAnsi="Times New Roman"/>
                <w:sz w:val="24"/>
                <w:szCs w:val="24"/>
              </w:rPr>
              <w:t>ное 97%</w:t>
            </w:r>
          </w:p>
        </w:tc>
      </w:tr>
      <w:tr w:rsidR="008D3314" w:rsidRPr="005D0366" w:rsidTr="00231CD0"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3.3.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Эффективность использования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ГРБС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межбюджетных трансфертов, полученных из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краевого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бюджета</w:t>
            </w:r>
          </w:p>
          <w:p w:rsidR="008D3314" w:rsidRPr="003210BB" w:rsidRDefault="008D3314" w:rsidP="008D3314">
            <w:pP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=(</w:t>
            </w:r>
            <w:proofErr w:type="spellStart"/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a</w:t>
            </w:r>
            <w:proofErr w:type="spellEnd"/>
            <w:r w:rsidRPr="003210BB">
              <w:rPr>
                <w:rFonts w:ascii="Times New Roman" w:hAnsi="Times New Roman"/>
                <w:sz w:val="24"/>
                <w:szCs w:val="24"/>
              </w:rPr>
              <w:t>/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a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)х100, где: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a</w:t>
            </w:r>
            <w:proofErr w:type="spellEnd"/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остатки целевых средств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Новокубанский район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, образовавшиеся на 1 января года, следующего за отчетным, за исключением целевых средств, остатки по которым образовались в результате фактического их поступления в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Новокубанский район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после 20 ноября в отчетном финансовом году;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a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объем поступивших в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Новокубанский район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межбюджетных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трансфертов в отчетном финансовом году, за исключением целевых средств, фактически поступивших в бюджет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Новокубанский район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после 20 ноября в отчетном финансо</w:t>
            </w:r>
            <w:r>
              <w:rPr>
                <w:rFonts w:ascii="Times New Roman" w:hAnsi="Times New Roman"/>
                <w:sz w:val="24"/>
                <w:szCs w:val="24"/>
              </w:rPr>
              <w:t>вом году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02" w:type="pct"/>
          </w:tcPr>
          <w:p w:rsidR="008D3314" w:rsidRDefault="008D3314" w:rsidP="008D3314">
            <w:pPr>
              <w:ind w:left="-53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  <w:p w:rsidR="008D3314" w:rsidRDefault="008D3314" w:rsidP="008D3314">
            <w:pPr>
              <w:ind w:left="-53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  <w:p w:rsidR="008D3314" w:rsidRDefault="008D3314" w:rsidP="008D3314">
            <w:pPr>
              <w:ind w:left="-53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Е(</w:t>
            </w:r>
            <w:proofErr w:type="gram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Р)=</w:t>
            </w:r>
          </w:p>
          <w:p w:rsidR="008D3314" w:rsidRPr="00FE62D3" w:rsidRDefault="008D3314" w:rsidP="008D3314">
            <w:pPr>
              <w:ind w:left="-53"/>
              <w:jc w:val="center"/>
              <w:rPr>
                <w:rFonts w:ascii="Times New Roman" w:hAnsi="Times New Roman"/>
                <w:snapToGrid w:val="0"/>
                <w:color w:val="000000"/>
                <w:position w:val="-122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position w:val="-68"/>
                <w:sz w:val="24"/>
                <w:szCs w:val="24"/>
                <w:lang w:val="en-US"/>
              </w:rPr>
              <w:object w:dxaOrig="3280" w:dyaOrig="1480">
                <v:shape id="_x0000_i1042" type="#_x0000_t75" style="width:159pt;height:70.5pt" o:ole="" fillcolor="window">
                  <v:imagedata r:id="rId40" o:title=""/>
                </v:shape>
                <o:OLEObject Type="Embed" ProgID="Equation.3" ShapeID="_x0000_i1042" DrawAspect="Content" ObjectID="_1494933051" r:id="rId41"/>
              </w:object>
            </w:r>
            <w:r>
              <w:rPr>
                <w:rFonts w:ascii="Times New Roman" w:hAnsi="Times New Roman"/>
                <w:snapToGrid w:val="0"/>
                <w:color w:val="000000"/>
                <w:position w:val="-68"/>
                <w:sz w:val="24"/>
                <w:szCs w:val="24"/>
              </w:rPr>
              <w:t>,</w:t>
            </w:r>
          </w:p>
          <w:p w:rsidR="008D3314" w:rsidRPr="003210BB" w:rsidRDefault="008D3314" w:rsidP="008D3314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Положительным считается факт отсутствия остатков целев</w:t>
            </w:r>
            <w:r>
              <w:rPr>
                <w:rFonts w:ascii="Times New Roman" w:hAnsi="Times New Roman"/>
                <w:sz w:val="24"/>
                <w:szCs w:val="24"/>
              </w:rPr>
              <w:t>ых сре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дств кр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аевого бюджета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Целевым ориентиром для </w:t>
            </w:r>
            <w:r>
              <w:rPr>
                <w:rFonts w:ascii="Times New Roman" w:hAnsi="Times New Roman"/>
                <w:sz w:val="24"/>
                <w:szCs w:val="24"/>
              </w:rPr>
              <w:t>ГАДБ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является з</w:t>
            </w:r>
            <w:r>
              <w:rPr>
                <w:rFonts w:ascii="Times New Roman" w:hAnsi="Times New Roman"/>
                <w:sz w:val="24"/>
                <w:szCs w:val="24"/>
              </w:rPr>
              <w:t>начение показателя, равное нулю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При оценке учитывается фактическое поступление в бюджет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Новокубанский район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целевых средств после 20 ноября в отчетном финансовом году, которое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исключают при рас</w:t>
            </w:r>
            <w:r>
              <w:rPr>
                <w:rFonts w:ascii="Times New Roman" w:hAnsi="Times New Roman"/>
                <w:sz w:val="24"/>
                <w:szCs w:val="24"/>
              </w:rPr>
              <w:t>чёте показателя</w:t>
            </w:r>
          </w:p>
        </w:tc>
      </w:tr>
      <w:tr w:rsidR="008D3314" w:rsidRPr="005D0366" w:rsidTr="00231CD0">
        <w:trPr>
          <w:trHeight w:val="3870"/>
        </w:trPr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3.4.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Эффективность управления ГРБС кредиторской задолженностью по расчетам с поставщиками и подрядчиками</w:t>
            </w:r>
          </w:p>
          <w:p w:rsidR="008D3314" w:rsidRPr="003210BB" w:rsidRDefault="008D3314" w:rsidP="008D33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10B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210BB">
              <w:rPr>
                <w:rFonts w:ascii="Times New Roman" w:hAnsi="Times New Roman"/>
                <w:sz w:val="24"/>
                <w:szCs w:val="24"/>
              </w:rPr>
              <w:t>=(К/</w:t>
            </w:r>
            <w:r w:rsidRPr="00B61F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A43232">
              <w:rPr>
                <w:rFonts w:ascii="Times New Roman" w:hAnsi="Times New Roman"/>
                <w:sz w:val="24"/>
                <w:szCs w:val="24"/>
                <w:vertAlign w:val="subscript"/>
              </w:rPr>
              <w:t>к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)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100, где: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К – объем кредиторской задолженности ГРБС и </w:t>
            </w:r>
            <w:proofErr w:type="gramStart"/>
            <w:r w:rsidRPr="003210BB">
              <w:rPr>
                <w:rFonts w:ascii="Times New Roman" w:hAnsi="Times New Roman"/>
                <w:sz w:val="24"/>
                <w:szCs w:val="24"/>
              </w:rPr>
              <w:t>подведомственных</w:t>
            </w:r>
            <w:proofErr w:type="gramEnd"/>
            <w:r w:rsidRPr="00321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ПБС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по расчетам с поставщиками и подрядчиками по состоянию на 1 января года, следующего за отчетным;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A43232">
              <w:rPr>
                <w:rFonts w:ascii="Times New Roman" w:hAnsi="Times New Roman"/>
                <w:sz w:val="24"/>
                <w:szCs w:val="24"/>
                <w:vertAlign w:val="subscript"/>
              </w:rPr>
              <w:t>к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кассовое исполнение расх</w:t>
            </w:r>
            <w:r>
              <w:rPr>
                <w:rFonts w:ascii="Times New Roman" w:hAnsi="Times New Roman"/>
                <w:sz w:val="24"/>
                <w:szCs w:val="24"/>
              </w:rPr>
              <w:t>одов ГРБС и подведомственных ПБС в отчетном финансовом году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autoSpaceDE w:val="0"/>
              <w:autoSpaceDN w:val="0"/>
              <w:adjustRightInd w:val="0"/>
              <w:ind w:left="-53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)=</w:t>
            </w:r>
          </w:p>
          <w:p w:rsidR="008D3314" w:rsidRPr="003210BB" w:rsidRDefault="008D3314" w:rsidP="008D3314">
            <w:pPr>
              <w:autoSpaceDE w:val="0"/>
              <w:autoSpaceDN w:val="0"/>
              <w:adjustRightInd w:val="0"/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position w:val="-52"/>
                <w:sz w:val="24"/>
                <w:szCs w:val="24"/>
                <w:lang w:val="en-US"/>
              </w:rPr>
              <w:object w:dxaOrig="2760" w:dyaOrig="1160">
                <v:shape id="_x0000_i1043" type="#_x0000_t75" style="width:168pt;height:55.5pt" o:ole="" fillcolor="window">
                  <v:imagedata r:id="rId42" o:title=""/>
                </v:shape>
                <o:OLEObject Type="Embed" ProgID="Equation.3" ShapeID="_x0000_i1043" DrawAspect="Content" ObjectID="_1494933052" r:id="rId43"/>
              </w:objec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52"/>
                <w:sz w:val="24"/>
                <w:szCs w:val="24"/>
              </w:rPr>
              <w:t>,</w:t>
            </w:r>
          </w:p>
          <w:p w:rsidR="008D3314" w:rsidRPr="003210BB" w:rsidRDefault="008D3314" w:rsidP="008D3314">
            <w:pPr>
              <w:autoSpaceDE w:val="0"/>
              <w:autoSpaceDN w:val="0"/>
              <w:adjustRightInd w:val="0"/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Негативным считается факт накопления </w:t>
            </w:r>
            <w:r>
              <w:rPr>
                <w:rFonts w:ascii="Times New Roman" w:hAnsi="Times New Roman"/>
                <w:sz w:val="24"/>
                <w:szCs w:val="24"/>
              </w:rPr>
              <w:t>значительного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объема кредиторской задолженности ГРБС и подведомственных </w:t>
            </w:r>
            <w:r>
              <w:rPr>
                <w:rFonts w:ascii="Times New Roman" w:hAnsi="Times New Roman"/>
                <w:sz w:val="24"/>
                <w:szCs w:val="24"/>
              </w:rPr>
              <w:t>ПБС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по расчетам с поставщиками и подрядчиками по состоянию на 1 января года, следующего </w:t>
            </w:r>
            <w:proofErr w:type="gramStart"/>
            <w:r w:rsidRPr="003210BB">
              <w:rPr>
                <w:rFonts w:ascii="Times New Roman" w:hAnsi="Times New Roman"/>
                <w:sz w:val="24"/>
                <w:szCs w:val="24"/>
              </w:rPr>
              <w:t>за</w:t>
            </w:r>
            <w:proofErr w:type="gramEnd"/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отчетным, по отношению к кассовому исполнению расходов ГРБС и подведомствен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ных ПБС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в отчет</w:t>
            </w:r>
            <w:r>
              <w:rPr>
                <w:rFonts w:ascii="Times New Roman" w:hAnsi="Times New Roman"/>
                <w:sz w:val="24"/>
                <w:szCs w:val="24"/>
              </w:rPr>
              <w:t>ном году</w:t>
            </w:r>
          </w:p>
        </w:tc>
      </w:tr>
      <w:tr w:rsidR="008D3314" w:rsidRPr="005D0366" w:rsidTr="00231CD0"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3.5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.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Наличие просроченной кредиторской задолженности ГРБС и </w:t>
            </w:r>
            <w:proofErr w:type="gramStart"/>
            <w:r w:rsidRPr="003210BB">
              <w:rPr>
                <w:rFonts w:ascii="Times New Roman" w:hAnsi="Times New Roman"/>
                <w:sz w:val="24"/>
                <w:szCs w:val="24"/>
              </w:rPr>
              <w:t>подведомственных</w:t>
            </w:r>
            <w:proofErr w:type="gramEnd"/>
            <w:r w:rsidRPr="00321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ПБС</w:t>
            </w:r>
          </w:p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10B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объем просроченной кредиторской задолженности ГРБС и подведомственных </w:t>
            </w:r>
            <w:r>
              <w:rPr>
                <w:rFonts w:ascii="Times New Roman" w:hAnsi="Times New Roman"/>
                <w:sz w:val="24"/>
                <w:szCs w:val="24"/>
              </w:rPr>
              <w:t>ПБС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на конец отчетного пе</w:t>
            </w:r>
            <w:r>
              <w:rPr>
                <w:rFonts w:ascii="Times New Roman" w:hAnsi="Times New Roman"/>
                <w:sz w:val="24"/>
                <w:szCs w:val="24"/>
              </w:rPr>
              <w:t>риода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)=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34"/>
                <w:sz w:val="24"/>
                <w:szCs w:val="24"/>
                <w:lang w:val="en-US"/>
              </w:rPr>
              <w:object w:dxaOrig="1579" w:dyaOrig="800">
                <v:shape id="_x0000_i1044" type="#_x0000_t75" style="width:99.75pt;height:40.5pt" o:ole="" fillcolor="window">
                  <v:imagedata r:id="rId44" o:title=""/>
                </v:shape>
                <o:OLEObject Type="Embed" ProgID="Equation.3" ShapeID="_x0000_i1044" DrawAspect="Content" ObjectID="_1494933053" r:id="rId45"/>
              </w:object>
            </w:r>
          </w:p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Оценка способности ГРБС организовать собственную деятельность и деятельность подведомственных </w:t>
            </w:r>
            <w:r>
              <w:rPr>
                <w:rFonts w:ascii="Times New Roman" w:hAnsi="Times New Roman"/>
                <w:sz w:val="24"/>
                <w:szCs w:val="24"/>
              </w:rPr>
              <w:t>ПБС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таким образом, чтобы не допускать возникновения просроченных денежных обяза</w:t>
            </w:r>
            <w:r>
              <w:rPr>
                <w:rFonts w:ascii="Times New Roman" w:hAnsi="Times New Roman"/>
                <w:sz w:val="24"/>
                <w:szCs w:val="24"/>
              </w:rPr>
              <w:t>тельств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Целевым ориентиром для ГРБС является значение показателя, рав</w:t>
            </w:r>
            <w:r>
              <w:rPr>
                <w:rFonts w:ascii="Times New Roman" w:hAnsi="Times New Roman"/>
                <w:sz w:val="24"/>
                <w:szCs w:val="24"/>
              </w:rPr>
              <w:t>ное нулю</w:t>
            </w:r>
          </w:p>
        </w:tc>
      </w:tr>
      <w:tr w:rsidR="008D3314" w:rsidRPr="005D0366" w:rsidTr="00231CD0"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3.6. Доля аннулированных отрицательных расходных расписаний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ГРБС</w:t>
            </w:r>
          </w:p>
          <w:p w:rsidR="008D3314" w:rsidRPr="003210BB" w:rsidRDefault="008D3314" w:rsidP="008D331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=(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o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/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100, где: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o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количество аннулированных в отчетном периоде оформленных ГРБС расходных расписаний, в которых предусмотрено уменьшение лимитов бюджетных обязательств на финансовый год и (или) объемов финансирования расходов с начала финансового года по подведомственным распорядителям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средств бюджета муниципального образования Новокубанский район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>подведомственным ПБС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общее количество принятых от ГРБС </w:t>
            </w:r>
            <w:r>
              <w:rPr>
                <w:rFonts w:ascii="Times New Roman" w:hAnsi="Times New Roman"/>
                <w:sz w:val="24"/>
                <w:szCs w:val="24"/>
              </w:rPr>
              <w:t>отделом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казначейского контроля финансов</w:t>
            </w:r>
            <w:r>
              <w:rPr>
                <w:rFonts w:ascii="Times New Roman" w:hAnsi="Times New Roman"/>
                <w:sz w:val="24"/>
                <w:szCs w:val="24"/>
              </w:rPr>
              <w:t>ого управления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расходных расписаний, оформленных ГРБС, предусматривающих уменьшение лимитов бюджетных обязательств на финансовый год и (или) объемов финансирования расходов с начала финансового года по подведомственным распорядителям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средств бюджета муниципального образования Новокубанский район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/>
                <w:sz w:val="24"/>
                <w:szCs w:val="24"/>
              </w:rPr>
              <w:t>подведомственным ПБС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, за отчет</w:t>
            </w:r>
            <w:r>
              <w:rPr>
                <w:rFonts w:ascii="Times New Roman" w:hAnsi="Times New Roman"/>
                <w:sz w:val="24"/>
                <w:szCs w:val="24"/>
              </w:rPr>
              <w:t>ный период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)=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52"/>
                <w:sz w:val="24"/>
                <w:szCs w:val="24"/>
                <w:lang w:val="en-US"/>
              </w:rPr>
              <w:object w:dxaOrig="2700" w:dyaOrig="1160">
                <v:shape id="_x0000_i1045" type="#_x0000_t75" style="width:134.25pt;height:57.75pt" o:ole="" fillcolor="window">
                  <v:imagedata r:id="rId46" o:title=""/>
                </v:shape>
                <o:OLEObject Type="Embed" ProgID="Equation.3" ShapeID="_x0000_i1045" DrawAspect="Content" ObjectID="_1494933054" r:id="rId47"/>
              </w:object>
            </w:r>
          </w:p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Большое количество аннулированных расходных расписаний, оформленных ГРБС, предусматривающих уменьшение лимитов бюджетных обязательств на финансовый год и (или) объемов финансирования расходов с начала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финансового года по подведомственным распорядителям и получателям средств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Новокубанский район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, свидетельствует о низком качестве подготовки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указанных расходных расписаний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Целевым ориентиром для ГРБС является значение показателя, рав</w:t>
            </w:r>
            <w:r>
              <w:rPr>
                <w:rFonts w:ascii="Times New Roman" w:hAnsi="Times New Roman"/>
                <w:sz w:val="24"/>
                <w:szCs w:val="24"/>
              </w:rPr>
              <w:t>ное нулю</w:t>
            </w:r>
          </w:p>
        </w:tc>
      </w:tr>
      <w:tr w:rsidR="008D3314" w:rsidRPr="005D0366" w:rsidTr="00231CD0">
        <w:trPr>
          <w:trHeight w:val="5371"/>
        </w:trPr>
        <w:tc>
          <w:tcPr>
            <w:tcW w:w="818" w:type="pct"/>
          </w:tcPr>
          <w:p w:rsidR="008D3314" w:rsidRPr="003210BB" w:rsidRDefault="008D3314" w:rsidP="008D3314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 xml:space="preserve">3.7.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Несоответствие расчетно-платежных документов, представленных в </w:t>
            </w:r>
            <w:r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, требованиям </w:t>
            </w:r>
            <w:hyperlink r:id="rId48" w:history="1">
              <w:r w:rsidRPr="003210BB">
                <w:rPr>
                  <w:rFonts w:ascii="Times New Roman" w:hAnsi="Times New Roman"/>
                  <w:sz w:val="24"/>
                  <w:szCs w:val="24"/>
                </w:rPr>
                <w:t>бюджетного законодательства</w:t>
              </w:r>
            </w:hyperlink>
            <w:r w:rsidRPr="003210BB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</w:p>
          <w:p w:rsidR="008D3314" w:rsidRPr="003210BB" w:rsidRDefault="008D3314" w:rsidP="008D3314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autoSpaceDE w:val="0"/>
              <w:autoSpaceDN w:val="0"/>
              <w:adjustRightInd w:val="0"/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=(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o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</w:rPr>
              <w:t>/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)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100, где:</w:t>
            </w:r>
          </w:p>
          <w:p w:rsidR="008D3314" w:rsidRPr="003210BB" w:rsidRDefault="008D3314" w:rsidP="008D3314">
            <w:pPr>
              <w:autoSpaceDE w:val="0"/>
              <w:autoSpaceDN w:val="0"/>
              <w:adjustRightInd w:val="0"/>
              <w:ind w:left="-53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o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количество расчетно-платежных документов, представленных ГРБС и подведомственными ПБС в отчетном периоде и отклоненных </w:t>
            </w:r>
            <w:r>
              <w:rPr>
                <w:rFonts w:ascii="Times New Roman" w:hAnsi="Times New Roman"/>
                <w:sz w:val="24"/>
                <w:szCs w:val="24"/>
              </w:rPr>
              <w:t>финансовым управлением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по итогам проведения контрольных процедур;</w:t>
            </w:r>
          </w:p>
          <w:p w:rsidR="008D3314" w:rsidRPr="003210BB" w:rsidRDefault="008D3314" w:rsidP="008D3314">
            <w:pPr>
              <w:autoSpaceDE w:val="0"/>
              <w:autoSpaceDN w:val="0"/>
              <w:adjustRightInd w:val="0"/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общее количество расчетно-платежных документов, принятых </w:t>
            </w:r>
            <w:r>
              <w:rPr>
                <w:rFonts w:ascii="Times New Roman" w:hAnsi="Times New Roman"/>
                <w:sz w:val="24"/>
                <w:szCs w:val="24"/>
              </w:rPr>
              <w:t>финансовым управлением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от ГРБС и подведомственных ПБС в отчет</w:t>
            </w:r>
            <w:r>
              <w:rPr>
                <w:rFonts w:ascii="Times New Roman" w:hAnsi="Times New Roman"/>
                <w:sz w:val="24"/>
                <w:szCs w:val="24"/>
              </w:rPr>
              <w:t>ном периоде</w:t>
            </w:r>
          </w:p>
          <w:p w:rsidR="008D3314" w:rsidRPr="003210BB" w:rsidRDefault="008D3314" w:rsidP="008D3314">
            <w:pPr>
              <w:autoSpaceDE w:val="0"/>
              <w:autoSpaceDN w:val="0"/>
              <w:adjustRightInd w:val="0"/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При этом не учитываются расчетно-платежные документы, представленные ГРБС и подведомственными  ПБС в отчетном периоде и отклоненные </w:t>
            </w:r>
            <w:r>
              <w:rPr>
                <w:rFonts w:ascii="Times New Roman" w:hAnsi="Times New Roman"/>
                <w:sz w:val="24"/>
                <w:szCs w:val="24"/>
              </w:rPr>
              <w:t>финансовым управлением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в связи с недостаточностью средств на едином счёте </w:t>
            </w:r>
            <w:r>
              <w:rPr>
                <w:rFonts w:ascii="Times New Roman" w:hAnsi="Times New Roman"/>
                <w:sz w:val="24"/>
                <w:szCs w:val="24"/>
              </w:rPr>
              <w:t>бюджета муниципального образования Новокубанский район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02" w:type="pct"/>
          </w:tcPr>
          <w:p w:rsidR="008D3314" w:rsidRPr="00CA7E64" w:rsidRDefault="008D3314" w:rsidP="008D3314">
            <w:pPr>
              <w:ind w:left="-53"/>
              <w:jc w:val="center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)=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48"/>
                <w:sz w:val="24"/>
                <w:szCs w:val="24"/>
                <w:lang w:val="en-US"/>
              </w:rPr>
              <w:object w:dxaOrig="2760" w:dyaOrig="1080">
                <v:shape id="_x0000_i1046" type="#_x0000_t75" style="width:137.25pt;height:54pt" o:ole="" fillcolor="window">
                  <v:imagedata r:id="rId49" o:title=""/>
                </v:shape>
                <o:OLEObject Type="Embed" ProgID="Equation.3" ShapeID="_x0000_i1046" DrawAspect="Content" ObjectID="_1494933055" r:id="rId50"/>
              </w:object>
            </w:r>
            <w:r>
              <w:rPr>
                <w:rFonts w:ascii="Times New Roman" w:hAnsi="Times New Roman"/>
                <w:snapToGrid w:val="0"/>
                <w:color w:val="000000"/>
                <w:position w:val="-48"/>
                <w:sz w:val="24"/>
                <w:szCs w:val="24"/>
              </w:rPr>
              <w:t>,</w:t>
            </w:r>
          </w:p>
          <w:p w:rsidR="008D3314" w:rsidRPr="003210BB" w:rsidRDefault="008D3314" w:rsidP="008D3314">
            <w:pPr>
              <w:tabs>
                <w:tab w:val="left" w:pos="4711"/>
              </w:tabs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009" w:type="pct"/>
          </w:tcPr>
          <w:p w:rsidR="008D3314" w:rsidRPr="003210BB" w:rsidRDefault="008D3314" w:rsidP="008D3314">
            <w:pPr>
              <w:autoSpaceDE w:val="0"/>
              <w:autoSpaceDN w:val="0"/>
              <w:adjustRightInd w:val="0"/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Большое количество возвращенных </w:t>
            </w:r>
            <w:r>
              <w:rPr>
                <w:rFonts w:ascii="Times New Roman" w:hAnsi="Times New Roman"/>
                <w:sz w:val="24"/>
                <w:szCs w:val="24"/>
              </w:rPr>
              <w:t>отделом казначейского контроля финансового управления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расчетно-платежных документов ГРБС и подведомственных ПБС свидетельствует о низком качестве подготовки указанных документов (бюджетной дисципли</w:t>
            </w:r>
            <w:r>
              <w:rPr>
                <w:rFonts w:ascii="Times New Roman" w:hAnsi="Times New Roman"/>
                <w:sz w:val="24"/>
                <w:szCs w:val="24"/>
              </w:rPr>
              <w:t>ны)</w:t>
            </w:r>
          </w:p>
          <w:p w:rsidR="008D3314" w:rsidRPr="003210BB" w:rsidRDefault="008D3314" w:rsidP="008D3314">
            <w:pPr>
              <w:autoSpaceDE w:val="0"/>
              <w:autoSpaceDN w:val="0"/>
              <w:adjustRightInd w:val="0"/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eastAsia="Calibri" w:hAnsi="Times New Roman"/>
                <w:sz w:val="24"/>
                <w:szCs w:val="24"/>
              </w:rPr>
              <w:t>Целевым ориентиром для ГРБС является значение показателя, рав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ное нулю</w:t>
            </w:r>
          </w:p>
        </w:tc>
      </w:tr>
      <w:tr w:rsidR="008D3314" w:rsidTr="00231CD0">
        <w:tc>
          <w:tcPr>
            <w:tcW w:w="2309" w:type="pct"/>
            <w:gridSpan w:val="2"/>
            <w:vAlign w:val="center"/>
          </w:tcPr>
          <w:p w:rsidR="008D3314" w:rsidRPr="0047040C" w:rsidRDefault="008D3314" w:rsidP="008D3314">
            <w:pP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lastRenderedPageBreak/>
              <w:t xml:space="preserve">4. </w:t>
            </w:r>
            <w: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Б</w:t>
            </w:r>
            <w:r w:rsidRPr="00FD5BC6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юджетный учет и отчетность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0B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314" w:rsidTr="00231CD0"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4.1. Методические рекомендации (указания) ГРБС по реализации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ной учетной политики</w:t>
            </w:r>
          </w:p>
          <w:p w:rsidR="008D3314" w:rsidRPr="003210BB" w:rsidRDefault="008D3314" w:rsidP="008D3314">
            <w:pP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Наличие методических рекомендаций (указаний) ГРБС по реализации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ной учетной политики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)=1, если утверждены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методические рекомендации (указания) ГРБС по реализации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ной учетной политики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)=0, если отсутствуют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методические рекомендации (указания) ГРБС по реализации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ой учетной политики</w:t>
            </w: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Показатель применяется для оценки правового обеспечения деятельности получателей бюджетных средств по полноценному ведени</w:t>
            </w:r>
            <w:r>
              <w:rPr>
                <w:rFonts w:ascii="Times New Roman" w:hAnsi="Times New Roman"/>
                <w:sz w:val="24"/>
                <w:szCs w:val="24"/>
              </w:rPr>
              <w:t>ю бюджетного учета и отчетности</w:t>
            </w:r>
          </w:p>
        </w:tc>
      </w:tr>
      <w:tr w:rsidR="008D3314" w:rsidTr="00231CD0"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4.2. Наличие единой автоматизированной системы сбора и свода бюджетной отчетности</w:t>
            </w:r>
          </w:p>
          <w:p w:rsidR="008D3314" w:rsidRPr="003210BB" w:rsidRDefault="008D3314" w:rsidP="008D3314">
            <w:pP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10B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210BB">
              <w:rPr>
                <w:rFonts w:ascii="Times New Roman" w:hAnsi="Times New Roman"/>
                <w:sz w:val="24"/>
                <w:szCs w:val="24"/>
              </w:rPr>
              <w:t>=(n/N)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100, где: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n –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получателей бюджетных средств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, включенных в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единую автоматизированную систему сбора и свода бюджетной отчетности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D3314" w:rsidRPr="003210BB" w:rsidRDefault="008D3314" w:rsidP="008D3314">
            <w:pPr>
              <w:ind w:left="-53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N – общее количество </w:t>
            </w:r>
            <w:r>
              <w:rPr>
                <w:rFonts w:ascii="Times New Roman" w:hAnsi="Times New Roman"/>
                <w:sz w:val="24"/>
                <w:szCs w:val="24"/>
              </w:rPr>
              <w:t>получателей бюджетных средств</w:t>
            </w:r>
          </w:p>
          <w:p w:rsidR="008D3314" w:rsidRPr="003210BB" w:rsidRDefault="008D3314" w:rsidP="008D3314">
            <w:pPr>
              <w:ind w:left="-5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E(P)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=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24"/>
                <w:sz w:val="24"/>
                <w:szCs w:val="24"/>
              </w:rPr>
              <w:object w:dxaOrig="440" w:dyaOrig="620">
                <v:shape id="_x0000_i1047" type="#_x0000_t75" style="width:21.75pt;height:30.75pt" o:ole="" fillcolor="window">
                  <v:imagedata r:id="rId51" o:title=""/>
                </v:shape>
                <o:OLEObject Type="Embed" ProgID="Equation.3" ShapeID="_x0000_i1047" DrawAspect="Content" ObjectID="_1494933056" r:id="rId52"/>
              </w:object>
            </w: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10BB">
              <w:rPr>
                <w:rFonts w:ascii="Times New Roman" w:hAnsi="Times New Roman"/>
                <w:sz w:val="24"/>
                <w:szCs w:val="24"/>
              </w:rPr>
              <w:t xml:space="preserve">Показатель рассчитывается на основании Сведений об автоматизации бюджетного учёта и отчётности по форме, утверждённой приложением № 3 к Методике расчета показателей и оценки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качества финансового мен</w:t>
            </w:r>
            <w:r>
              <w:rPr>
                <w:rFonts w:ascii="Times New Roman" w:hAnsi="Times New Roman"/>
                <w:sz w:val="24"/>
                <w:szCs w:val="24"/>
              </w:rPr>
              <w:t>еджмента главных распорядителей с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редств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Новокубанский район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, главных администраторов доходов (источников финансирования дефицита)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Новокубанский район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, утверждённой </w:t>
            </w:r>
            <w:r>
              <w:rPr>
                <w:rFonts w:ascii="Times New Roman" w:hAnsi="Times New Roman"/>
                <w:sz w:val="24"/>
                <w:szCs w:val="24"/>
              </w:rPr>
              <w:t>финансовым управлением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(далее соответственно – Сведения об автоматизации бюджетного учёта, Методика расчёта показате</w:t>
            </w:r>
            <w:r>
              <w:rPr>
                <w:rFonts w:ascii="Times New Roman" w:hAnsi="Times New Roman"/>
                <w:sz w:val="24"/>
                <w:szCs w:val="24"/>
              </w:rPr>
              <w:t>лей)</w:t>
            </w:r>
            <w:proofErr w:type="gramEnd"/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Целевым ориентиром для ГРБС является зна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показателя равное 100%</w:t>
            </w:r>
          </w:p>
        </w:tc>
      </w:tr>
      <w:tr w:rsidR="008D3314" w:rsidTr="00231CD0"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4.3. Применение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ПБС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программных комплексов по автоматизации бюджетного учета</w:t>
            </w:r>
          </w:p>
          <w:p w:rsidR="008D3314" w:rsidRPr="003210BB" w:rsidRDefault="008D3314" w:rsidP="008D3314">
            <w:pP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10BB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3210BB">
              <w:rPr>
                <w:rFonts w:ascii="Times New Roman" w:hAnsi="Times New Roman"/>
                <w:sz w:val="24"/>
                <w:szCs w:val="24"/>
              </w:rPr>
              <w:t>=(n/N)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100, где: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n – количество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ПБС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,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применяющих</w:t>
            </w:r>
            <w:proofErr w:type="gram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программные комплексы по автоматизации бюджетного учета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N – общее количество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ПБС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E(P)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=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24"/>
                <w:sz w:val="24"/>
                <w:szCs w:val="24"/>
              </w:rPr>
              <w:object w:dxaOrig="440" w:dyaOrig="620">
                <v:shape id="_x0000_i1048" type="#_x0000_t75" style="width:21.75pt;height:30.75pt" o:ole="" fillcolor="window">
                  <v:imagedata r:id="rId53" o:title=""/>
                </v:shape>
                <o:OLEObject Type="Embed" ProgID="Equation.3" ShapeID="_x0000_i1048" DrawAspect="Content" ObjectID="_1494933057" r:id="rId54"/>
              </w:object>
            </w: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Показатель рассчитывается на основании Сведений об автомат</w:t>
            </w:r>
            <w:r>
              <w:rPr>
                <w:rFonts w:ascii="Times New Roman" w:hAnsi="Times New Roman"/>
                <w:sz w:val="24"/>
                <w:szCs w:val="24"/>
              </w:rPr>
              <w:t>изации бюджетного учёта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Целевым ориентиром для ГРБС является значение показателя, рав</w:t>
            </w:r>
            <w:r>
              <w:rPr>
                <w:rFonts w:ascii="Times New Roman" w:hAnsi="Times New Roman"/>
                <w:sz w:val="24"/>
                <w:szCs w:val="24"/>
              </w:rPr>
              <w:t>ное 100%</w:t>
            </w:r>
          </w:p>
        </w:tc>
      </w:tr>
      <w:tr w:rsidR="008D3314" w:rsidTr="00231CD0">
        <w:trPr>
          <w:trHeight w:val="4834"/>
        </w:trPr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E73A6D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 xml:space="preserve">4.4. Представление в составе годовой бюджетной отчетности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ГРБС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Сведений о мерах по повышению эффективности расходования бюджетных средств</w:t>
            </w:r>
          </w:p>
          <w:p w:rsidR="008D3314" w:rsidRPr="003210BB" w:rsidRDefault="008D3314" w:rsidP="008D3314">
            <w:pP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3210BB">
              <w:rPr>
                <w:rFonts w:ascii="Times New Roman" w:hAnsi="Times New Roman"/>
                <w:sz w:val="24"/>
                <w:szCs w:val="24"/>
              </w:rPr>
              <w:t>Наличие в годовой бюджетной отчетности за отчетный финансовый год заполненной таблицы «Сведения о мерах по повышению эффективности расходования бюджетных средств» по форме, утвержденной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Инструкцией о порядке составления и представления годовой, квартальной и месячной отчетности об исполнении бюджетов бюджетной системы РФ, утверждённой приказом Минфина России от 28 декабря 2010 года № 191н (далее соответственно – таблица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«Сведения о мерах по повышению эффективности расходования</w:t>
            </w:r>
            <w:proofErr w:type="gramEnd"/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бюджетных средств», Инструкция о порядке составления и представления отчетности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)=1, если таблица «Сведения о мерах по повышению эффективности расходования бюджетных средств» заполнена;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)=0, если таблица «Сведения о мерах по повышению эффективности расходования бюджетных средств» </w:t>
            </w:r>
            <w:r>
              <w:rPr>
                <w:rFonts w:ascii="Times New Roman" w:hAnsi="Times New Roman"/>
                <w:sz w:val="24"/>
                <w:szCs w:val="24"/>
              </w:rPr>
              <w:t>не заполнена</w:t>
            </w:r>
          </w:p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В рамках оценки данного показателя позитивно рассматривается сам факт наличия за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полненной таблицы</w:t>
            </w:r>
          </w:p>
        </w:tc>
      </w:tr>
      <w:tr w:rsidR="008D3314" w:rsidTr="00231CD0"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4.5. Соответствие показателей, приведенных в Сведениях о результатах деятельности,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показателям, указанным в обоснованиях бюджетных ассигнований ГРБС</w:t>
            </w:r>
          </w:p>
          <w:p w:rsidR="008D3314" w:rsidRPr="003210BB" w:rsidRDefault="008D3314" w:rsidP="008D3314">
            <w:pP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=(</w:t>
            </w:r>
            <w:proofErr w:type="spellStart"/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p</w:t>
            </w:r>
            <w:proofErr w:type="spellEnd"/>
            <w:r w:rsidRPr="003210B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a</w:t>
            </w:r>
            <w:proofErr w:type="spellEnd"/>
            <w:r w:rsidRPr="003210BB">
              <w:rPr>
                <w:rFonts w:ascii="Times New Roman" w:hAnsi="Times New Roman"/>
                <w:sz w:val="24"/>
                <w:szCs w:val="24"/>
              </w:rPr>
              <w:t>)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100, где: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p</w:t>
            </w:r>
            <w:proofErr w:type="spellEnd"/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количество показателей в таблице «Сведения о результатах деятельности» по форме, утвержденной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Инструкцией о порядке составления и представления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отчетности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(далее – таблица «Сведения о результатах деятельности»), соответствующих показателям, содержащимся в обоснованиях бюджетных ассигнований, представленных в </w:t>
            </w:r>
            <w:r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в отчетном финансовом году;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a</w:t>
            </w:r>
            <w:proofErr w:type="spellEnd"/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общее количество количественных показателей результатов деятельности, содержащихся в обоснованиях бюджетных ассигнований, представленных в Министерство финан</w:t>
            </w:r>
            <w:r>
              <w:rPr>
                <w:rFonts w:ascii="Times New Roman" w:hAnsi="Times New Roman"/>
                <w:sz w:val="24"/>
                <w:szCs w:val="24"/>
              </w:rPr>
              <w:t>сов в отчетном финансовом году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)=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24"/>
                <w:sz w:val="24"/>
                <w:szCs w:val="24"/>
              </w:rPr>
              <w:object w:dxaOrig="440" w:dyaOrig="620">
                <v:shape id="_x0000_i1049" type="#_x0000_t75" style="width:21.75pt;height:30.75pt" o:ole="" fillcolor="window">
                  <v:imagedata r:id="rId53" o:title=""/>
                </v:shape>
                <o:OLEObject Type="Embed" ProgID="Equation.3" ShapeID="_x0000_i1049" DrawAspect="Content" ObjectID="_1494933058" r:id="rId55"/>
              </w:object>
            </w:r>
          </w:p>
          <w:p w:rsidR="008D3314" w:rsidRPr="003210BB" w:rsidRDefault="008D3314" w:rsidP="008D3314">
            <w:pPr>
              <w:spacing w:line="360" w:lineRule="auto"/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Если </w:t>
            </w:r>
            <w:proofErr w:type="spellStart"/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a</w:t>
            </w:r>
            <w:proofErr w:type="spell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=0, то </w:t>
            </w: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Е(</w:t>
            </w:r>
            <w:proofErr w:type="gram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Р)=0</w:t>
            </w:r>
          </w:p>
          <w:p w:rsidR="008D3314" w:rsidRPr="00614CD3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При этом</w:t>
            </w: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,</w:t>
            </w:r>
            <w:proofErr w:type="gram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если у ГРБС в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представленных в </w:t>
            </w:r>
            <w:r>
              <w:rPr>
                <w:rFonts w:ascii="Times New Roman" w:hAnsi="Times New Roman"/>
                <w:sz w:val="24"/>
                <w:szCs w:val="24"/>
              </w:rPr>
              <w:t>финансовое управление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в отчетном финансовом году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обоснованиях бюджетных ассигнований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отсутствуют количественные показатели результатов деятельности по причине представления по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яснительных записок, составленными в соответствии с Методическими рекомендациями по составлению уточнённых реестров расходных обязательств </w:t>
            </w:r>
            <w:r>
              <w:rPr>
                <w:rFonts w:ascii="Times New Roman" w:hAnsi="Times New Roman"/>
                <w:sz w:val="24"/>
                <w:szCs w:val="24"/>
              </w:rPr>
              <w:t>муниципального образования Новокубанский район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и обоснований бюджетных ассигнований, утверждённых </w:t>
            </w:r>
            <w:r>
              <w:rPr>
                <w:rFonts w:ascii="Times New Roman" w:hAnsi="Times New Roman"/>
                <w:sz w:val="24"/>
                <w:szCs w:val="24"/>
              </w:rPr>
              <w:t>финансовым управлением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и действовавших в отчётном финансовом году, то настоящий показатель считает</w:t>
            </w:r>
            <w:r>
              <w:rPr>
                <w:rFonts w:ascii="Times New Roman" w:hAnsi="Times New Roman"/>
                <w:sz w:val="24"/>
                <w:szCs w:val="24"/>
              </w:rPr>
              <w:t>ся неприменимым по данному ГРБС</w:t>
            </w: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Позитивно рассматривается соответствие представлен</w:t>
            </w:r>
            <w:r>
              <w:rPr>
                <w:rFonts w:ascii="Times New Roman" w:hAnsi="Times New Roman"/>
                <w:sz w:val="24"/>
                <w:szCs w:val="24"/>
              </w:rPr>
              <w:t>ных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в таблице «Сведения о результатах деятельности»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фактических и плановых значений показателей, указанных в обоснованиях бюджетных ассигнований ГРБС на текущий финансовый год и плановый период, представленных в </w:t>
            </w:r>
            <w:r>
              <w:rPr>
                <w:rFonts w:ascii="Times New Roman" w:hAnsi="Times New Roman"/>
                <w:sz w:val="24"/>
                <w:szCs w:val="24"/>
              </w:rPr>
              <w:t>финансовое управление в отчетном финансовом году</w:t>
            </w:r>
          </w:p>
        </w:tc>
      </w:tr>
      <w:tr w:rsidR="008D3314" w:rsidTr="00231CD0">
        <w:trPr>
          <w:trHeight w:val="376"/>
        </w:trPr>
        <w:tc>
          <w:tcPr>
            <w:tcW w:w="2309" w:type="pct"/>
            <w:gridSpan w:val="2"/>
          </w:tcPr>
          <w:p w:rsidR="008D3314" w:rsidRPr="00E73A6D" w:rsidRDefault="008D3314" w:rsidP="008D3314">
            <w:pP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lastRenderedPageBreak/>
              <w:t>5. Контроль и аудит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0BB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D3314" w:rsidTr="00231CD0">
        <w:trPr>
          <w:trHeight w:val="299"/>
        </w:trPr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5.1. Качество правового акта участника мониторинга об организации внутреннего финансового аудита (контроля)</w:t>
            </w:r>
          </w:p>
          <w:p w:rsidR="008D3314" w:rsidRPr="003210BB" w:rsidRDefault="008D3314" w:rsidP="008D3314">
            <w:pP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Наличие правового акта участника мониторинга, обеспечивающего создание подразделения внутреннего финансового аудита (контроля):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для ГРБС, у которого количество подведомственных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ПБС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равно нулю - включение в перечень должностных обязанностей должностному лицу функции по проведению внутреннего финансового аудита (контроля);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для ГРБС, у которого количество подведомственных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ПБС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больше 0, но меньше 10 – закрепление функций по проведению внутреннего финансового аудита (контроля) не менее чем одним должностным лицом;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для ГРБС, у которого количество подведомственных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ПБС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больше или равно 10, но меньше 70 – закрепление функций по проведению внутреннего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финансового аудита (контроля) за несколькими должностными лицами без создания подразделения внутреннего финансового аудита (контроля);</w:t>
            </w:r>
            <w:proofErr w:type="gramEnd"/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для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ГРБС, у которого количество </w:t>
            </w: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подведомственных</w:t>
            </w:r>
            <w:proofErr w:type="gram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ПБС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равно 70 и свыше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- создание подразделения внутреннего финансового аудита (контроля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)=1, если правовой акт ГРБС утвержден и соответствует требованиям</w:t>
            </w:r>
            <w:r>
              <w:rPr>
                <w:rFonts w:ascii="Times New Roman" w:hAnsi="Times New Roman"/>
                <w:sz w:val="24"/>
                <w:szCs w:val="24"/>
              </w:rPr>
              <w:t>, указанным в графе 2 настоящего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подраздела;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)=0, если правовой акт ГРБС не утвержден или не соответству</w:t>
            </w:r>
            <w:r>
              <w:rPr>
                <w:rFonts w:ascii="Times New Roman" w:hAnsi="Times New Roman"/>
                <w:sz w:val="24"/>
                <w:szCs w:val="24"/>
              </w:rPr>
              <w:t>ет требованиям, указанным в графе 2 настоящего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подраздела</w:t>
            </w: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Наличие правового акта ГРБС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об организации внутреннего финансового аудита (контроля)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является положительным фактором, способствующим повышению к</w:t>
            </w:r>
            <w:r>
              <w:rPr>
                <w:rFonts w:ascii="Times New Roman" w:hAnsi="Times New Roman"/>
                <w:sz w:val="24"/>
                <w:szCs w:val="24"/>
              </w:rPr>
              <w:t>ачества финансового менеджмента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314" w:rsidTr="00231CD0">
        <w:trPr>
          <w:trHeight w:val="4692"/>
        </w:trPr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5.2. Качество правового акта ГРБС о порядке ведения мониторинга результатов деятельности (результативности бюджетных расходов, качества предоставляемых услуг) подведомственных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ных учреждений</w:t>
            </w: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Наличие правового акта ГРБС, обеспечивающего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наличие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процедур и порядка осуществления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мониторинга результатов деятельности (результативности бюджетных расходов, качества предоставляемых услуг) подведомственных государственных учре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ждений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)=1, если правовой акт ГРБС утвержден и содержит описание процедур и порядка осуществления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мониторинга результатов деятельности (результативности бюджетных расходов, качества предоставляемых услуг) подведомственных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ных учреждений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)=0, если правовой акт ГРБС не утвержден или не содержит описание процедур и порядка осуществления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мониторинга результатов деятельности (результативности бюджетных расходов, качества предоставляемых услуг) подведомственных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муниципальных учреждений</w:t>
            </w: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Наличие правового акта ГРБС о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порядке осуществления мониторинга результатов деятельности (результативности бюджетных расходов, качества предоставляемых услуг) подведомственных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муниципаль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ных учреждений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является положительным фактором, способствующим повышению качества финансового менедж</w:t>
            </w:r>
            <w:r>
              <w:rPr>
                <w:rFonts w:ascii="Times New Roman" w:hAnsi="Times New Roman"/>
                <w:sz w:val="24"/>
                <w:szCs w:val="24"/>
              </w:rPr>
              <w:t>мента</w:t>
            </w:r>
          </w:p>
        </w:tc>
      </w:tr>
      <w:tr w:rsidR="008D3314" w:rsidTr="00231CD0"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5.3. Осуществление мероприятий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внутреннего контроля</w:t>
            </w:r>
          </w:p>
          <w:p w:rsidR="008D3314" w:rsidRPr="003210BB" w:rsidRDefault="008D3314" w:rsidP="008D3314">
            <w:pP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proofErr w:type="gramEnd"/>
            <w:r w:rsidRPr="003210BB">
              <w:rPr>
                <w:rFonts w:ascii="Times New Roman" w:hAnsi="Times New Roman"/>
                <w:sz w:val="24"/>
                <w:szCs w:val="24"/>
              </w:rPr>
              <w:t xml:space="preserve"> - наличие в годовой бюджетной отчетности за отчетный финансовый год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заполненной таблицы «Сведения о результатах мероприятий внутреннего контроля» по форме, утвержденной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Инструкцией о порядке составления и представления отчетности (далее – таблица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«Сведения о результатах мероприятий внутреннего контроля»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), содержание которой функционально соответствует характеристикам внутреннего контроля, указанным в комментарии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)=1, если таблица «Сведения о результатах мероприятий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внутреннего контроля» заполнена и соответствует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характеристикам внутреннего контроля, указанным в комментарии;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)=0, если таблица «Сведения о результатах мероприятий внутреннего контроля» не заполнена или не соответствует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характеристикам внутреннего контроля, указанным в комментарии</w:t>
            </w: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Контроль за</w:t>
            </w:r>
            <w:proofErr w:type="gramEnd"/>
            <w:r w:rsidRPr="003210BB">
              <w:rPr>
                <w:rFonts w:ascii="Times New Roman" w:hAnsi="Times New Roman"/>
                <w:sz w:val="24"/>
                <w:szCs w:val="24"/>
              </w:rPr>
              <w:t xml:space="preserve"> результативностью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(эффективностью) использования бюджетных средств, обеспечение надежности и точности информации, отражаемой в отчетности об исполнении бюджета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Новокубанский район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, соблюдение норм законодательства, внутренних правовых актов, выполнение мероприятий планов в соответствии с целями и задачами ГРБС</w:t>
            </w:r>
          </w:p>
        </w:tc>
      </w:tr>
      <w:tr w:rsidR="008D3314" w:rsidTr="00231CD0"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5.4. Динамика нарушений, выявленных в ходе внешних контрольных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мероприятий</w:t>
            </w: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lastRenderedPageBreak/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=(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30"/>
                <w:sz w:val="24"/>
                <w:szCs w:val="24"/>
                <w:lang w:val="en-US"/>
              </w:rPr>
              <w:object w:dxaOrig="859" w:dyaOrig="680">
                <v:shape id="_x0000_i1050" type="#_x0000_t75" style="width:42.75pt;height:34.5pt" o:ole="" fillcolor="window">
                  <v:imagedata r:id="rId56" o:title=""/>
                </v:shape>
                <o:OLEObject Type="Embed" ProgID="Equation.3" ShapeID="_x0000_i1050" DrawAspect="Content" ObjectID="_1494933059" r:id="rId57"/>
              </w:objec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x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100, где: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vertAlign w:val="subscript"/>
                <w:lang w:val="en-US"/>
              </w:rPr>
              <w:t>o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– количество нарушений, выявленных в ходе внешних контрольных мероприятий, по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состоянию на 1 января отчетного года, определяемое в соответствии с таблицей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«Сведения о результатах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внешних контрольных мероприятий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», заполненной по форме, утвержденной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Инструкцией о порядке составления и представления отчетности;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– количество нарушений, выявленных в ходе внешних контрольных мероприятий, по состоянию на 1 января года, следующего за отчетным, определяемое в соответствии с таблицей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«Сведения о результатах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внешних контрольных мероприятий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», заполненной по форме, утвержденной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Инструкцией о порядке составл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ения и представления отчетности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E(P)=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68"/>
                <w:sz w:val="24"/>
                <w:szCs w:val="24"/>
                <w:lang w:val="en-US"/>
              </w:rPr>
              <w:t xml:space="preserve"> 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68"/>
                <w:sz w:val="24"/>
                <w:szCs w:val="24"/>
                <w:lang w:val="en-US"/>
              </w:rPr>
              <w:object w:dxaOrig="3920" w:dyaOrig="1480">
                <v:shape id="_x0000_i1051" type="#_x0000_t75" style="width:171.75pt;height:67.5pt" o:ole="" fillcolor="window">
                  <v:imagedata r:id="rId58" o:title=""/>
                </v:shape>
                <o:OLEObject Type="Embed" ProgID="Equation.3" ShapeID="_x0000_i1051" DrawAspect="Content" ObjectID="_1494933060" r:id="rId59"/>
              </w:object>
            </w: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рамках оценки данного показателя позитивно рассматривается уменьшение количества нарушений, выявленных в ходе внешних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контрольных мероприя</w:t>
            </w:r>
            <w:r>
              <w:rPr>
                <w:rFonts w:ascii="Times New Roman" w:hAnsi="Times New Roman"/>
                <w:sz w:val="24"/>
                <w:szCs w:val="24"/>
              </w:rPr>
              <w:t>тий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Целевым ориентиром является значение показателя, большее или равное 50% (количество нарушений уменьшилось в </w:t>
            </w:r>
            <w:r>
              <w:rPr>
                <w:rFonts w:ascii="Times New Roman" w:hAnsi="Times New Roman"/>
                <w:sz w:val="24"/>
                <w:szCs w:val="24"/>
              </w:rPr>
              <w:t>два и более раз)</w:t>
            </w:r>
          </w:p>
        </w:tc>
      </w:tr>
      <w:tr w:rsidR="008D3314" w:rsidTr="00231CD0">
        <w:trPr>
          <w:trHeight w:val="3397"/>
        </w:trPr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5.5. Проведение инвентаризаций</w:t>
            </w:r>
          </w:p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Наличие в годовой бюджетной отчетности за отчетный финансовый год заполненной таблицы «Сведения о проведении инвентаризаций» по форме, утвержденной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Инструкцией о порядке составления и представления отчетности (далее – таблица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«Сведения о проведении инвентаризаций»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)=1, если таблица «Сведения о проведении инвентаризаций» заполнена и соответствует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требованиям Инструкции о порядке составления и представления отчетности;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)=0, если таблица «Сведения о проведении инвентаризаций» не заполнена или не соответствует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требованиям Инструкции о порядке составления и представления отчетности</w:t>
            </w: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Позитивно расценивается факт наличия заполненной таблицы «Сведения о проведении инвентаризаций» и ее качества</w:t>
            </w:r>
          </w:p>
        </w:tc>
      </w:tr>
      <w:tr w:rsidR="008D3314" w:rsidTr="00231CD0">
        <w:trPr>
          <w:trHeight w:val="4555"/>
        </w:trPr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5.6. Доля недостач и хищений денежных средств и материальных ценностей</w:t>
            </w:r>
          </w:p>
          <w:p w:rsidR="008D3314" w:rsidRPr="003210BB" w:rsidRDefault="008D3314" w:rsidP="008D3314">
            <w:pP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 w:right="-49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P=(T/(O+N+M+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А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+R+S+V))x100, </w:t>
            </w:r>
          </w:p>
          <w:p w:rsidR="008D3314" w:rsidRPr="003210BB" w:rsidRDefault="008D3314" w:rsidP="008D3314">
            <w:pPr>
              <w:ind w:left="-53" w:right="-49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где: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сумма установленных недостач и хищений денежных средств и материальных ценностей у ГРБС в отчетном финансовом году;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О – основные средства (остаточная стоимость) ГРБС;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нематериальные активы (остаточная стоимость) ГРБС;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материальные запасы ГРБС;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вложения ГРБС в нефинансовые активы;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R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нефинансовые активы ГРБС в пути;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денежные средства ГРБС;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финансовые вложения ГРБС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)=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28"/>
                <w:sz w:val="24"/>
                <w:szCs w:val="24"/>
                <w:lang w:val="en-US"/>
              </w:rPr>
              <w:object w:dxaOrig="960" w:dyaOrig="680">
                <v:shape id="_x0000_i1052" type="#_x0000_t75" style="width:48.75pt;height:33.75pt" o:ole="" fillcolor="window">
                  <v:imagedata r:id="rId60" o:title=""/>
                </v:shape>
                <o:OLEObject Type="Embed" ProgID="Equation.3" ShapeID="_x0000_i1052" DrawAspect="Content" ObjectID="_1494933061" r:id="rId61"/>
              </w:object>
            </w:r>
          </w:p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Наличие сумм установленных недостач и хищений денежных средств и материальных ценностей у ГРБС в отчетном финансовом году свидетельствует о низком качестве финансового менеджмен</w:t>
            </w:r>
            <w:r>
              <w:rPr>
                <w:rFonts w:ascii="Times New Roman" w:hAnsi="Times New Roman"/>
                <w:sz w:val="24"/>
                <w:szCs w:val="24"/>
              </w:rPr>
              <w:t>та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Целевым ориентиром для ГРБС является значение показателя, равное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нулю</w:t>
            </w:r>
          </w:p>
        </w:tc>
      </w:tr>
      <w:tr w:rsidR="008D3314" w:rsidTr="00231CD0">
        <w:trPr>
          <w:trHeight w:val="2404"/>
        </w:trPr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5.7. Динамика объема материальных запасов</w:t>
            </w: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proofErr w:type="gramStart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</w:t>
            </w:r>
            <w:proofErr w:type="gramEnd"/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=((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J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-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J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)/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J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x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,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где: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J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vertAlign w:val="subscript"/>
              </w:rPr>
              <w:t>0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–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стоимость материальных запасов ГРБС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по состоянию на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1 января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года, следующего за годом, предшествующим отчетному;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J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vertAlign w:val="subscript"/>
              </w:rPr>
              <w:t xml:space="preserve">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–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стоимость материальных запасов ГРБС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по состоянию на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1 января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года, следующего за отчетным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(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)=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68"/>
                <w:sz w:val="24"/>
                <w:szCs w:val="24"/>
                <w:lang w:val="en-US"/>
              </w:rPr>
              <w:object w:dxaOrig="2799" w:dyaOrig="1480">
                <v:shape id="_x0000_i1053" type="#_x0000_t75" style="width:140.25pt;height:73.5pt" o:ole="" fillcolor="window">
                  <v:imagedata r:id="rId62" o:title=""/>
                </v:shape>
                <o:OLEObject Type="Embed" ProgID="Equation.3" ShapeID="_x0000_i1053" DrawAspect="Content" ObjectID="_1494933062" r:id="rId63"/>
              </w:objec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где: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position w:val="-4"/>
                <w:sz w:val="24"/>
                <w:szCs w:val="24"/>
                <w:lang w:val="en-US"/>
              </w:rPr>
              <w:t>I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4"/>
                <w:sz w:val="24"/>
                <w:szCs w:val="24"/>
              </w:rPr>
              <w:t xml:space="preserve"> –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значение инфляции в отчет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ном финансовом году</w:t>
            </w: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Негативно расценивается значительный рост материальных запасов.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Целевым ориентиром для ГРБС является значение показателя, равное значению инфл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яции в отчетном финансовом году</w:t>
            </w:r>
          </w:p>
        </w:tc>
      </w:tr>
      <w:tr w:rsidR="008D3314" w:rsidTr="00231CD0">
        <w:tc>
          <w:tcPr>
            <w:tcW w:w="2309" w:type="pct"/>
            <w:gridSpan w:val="2"/>
          </w:tcPr>
          <w:p w:rsidR="008D3314" w:rsidRPr="00614CD3" w:rsidRDefault="008D3314" w:rsidP="008D3314">
            <w:pP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6. Кадровый потенциал сотрудников, осуществляющих финансово-экономическую де</w:t>
            </w:r>
            <w:r>
              <w:rPr>
                <w:rFonts w:ascii="Times New Roman" w:hAnsi="Times New Roman"/>
                <w:b/>
                <w:snapToGrid w:val="0"/>
                <w:color w:val="000000"/>
                <w:sz w:val="24"/>
                <w:szCs w:val="24"/>
              </w:rPr>
              <w:t>ятельность ГРБС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210BB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09" w:type="pct"/>
            <w:vAlign w:val="center"/>
          </w:tcPr>
          <w:p w:rsidR="008D3314" w:rsidRPr="00614CD3" w:rsidRDefault="008D3314" w:rsidP="008D3314">
            <w:pPr>
              <w:ind w:left="-5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14CD3">
              <w:rPr>
                <w:rFonts w:ascii="Times New Roman" w:hAnsi="Times New Roman"/>
                <w:b/>
                <w:sz w:val="24"/>
                <w:szCs w:val="24"/>
              </w:rPr>
              <w:t xml:space="preserve">Показатели рассчитывается на основании Сведений о кадровом потенциале финансового (финансово-экономического) подразделения центрального </w:t>
            </w:r>
            <w:proofErr w:type="gramStart"/>
            <w:r w:rsidRPr="00614CD3">
              <w:rPr>
                <w:rFonts w:ascii="Times New Roman" w:hAnsi="Times New Roman"/>
                <w:b/>
                <w:sz w:val="24"/>
                <w:szCs w:val="24"/>
              </w:rPr>
              <w:t xml:space="preserve">аппарата главного администратора средств бюджета муниципального </w:t>
            </w:r>
            <w:r w:rsidRPr="00614CD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образования</w:t>
            </w:r>
            <w:proofErr w:type="gramEnd"/>
            <w:r w:rsidRPr="00614CD3">
              <w:rPr>
                <w:rFonts w:ascii="Times New Roman" w:hAnsi="Times New Roman"/>
                <w:b/>
                <w:sz w:val="24"/>
                <w:szCs w:val="24"/>
              </w:rPr>
              <w:t xml:space="preserve"> Новокубанский район по форме, утверждённой приложением № 4 к Методике расчета показателей</w:t>
            </w:r>
          </w:p>
        </w:tc>
      </w:tr>
      <w:tr w:rsidR="008D3314" w:rsidTr="00231CD0">
        <w:trPr>
          <w:trHeight w:val="409"/>
        </w:trPr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6.1. Квалификация сотрудников, осуществляющих финансово-экономическую деятельность ГРБС</w:t>
            </w:r>
          </w:p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=(</w:t>
            </w:r>
            <w:r w:rsidRPr="003210BB">
              <w:rPr>
                <w:rFonts w:ascii="Times New Roman" w:hAnsi="Times New Roman"/>
                <w:position w:val="-24"/>
                <w:sz w:val="24"/>
                <w:szCs w:val="24"/>
              </w:rPr>
              <w:object w:dxaOrig="2360" w:dyaOrig="639">
                <v:shape id="_x0000_i1054" type="#_x0000_t75" style="width:117.75pt;height:31.5pt" o:ole="" fillcolor="window">
                  <v:imagedata r:id="rId64" o:title=""/>
                </v:shape>
                <o:OLEObject Type="Embed" ProgID="Equation.3" ShapeID="_x0000_i1054" DrawAspect="Content" ObjectID="_1494933063" r:id="rId65"/>
              </w:object>
            </w:r>
            <w:r w:rsidRPr="003210BB">
              <w:rPr>
                <w:rFonts w:ascii="Times New Roman" w:hAnsi="Times New Roman"/>
                <w:sz w:val="24"/>
                <w:szCs w:val="24"/>
              </w:rPr>
              <w:t>)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100,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где: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proofErr w:type="spellStart"/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kd</w:t>
            </w:r>
            <w:proofErr w:type="spellEnd"/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фактическое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количество сотрудников, осуществляющих финансово-экономическую деятельность ГРБС, обладающих дипломами кандидата или доктора экономических наук по состоянию на 1 января текущего финансового года;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proofErr w:type="spellStart"/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h</w:t>
            </w:r>
            <w:proofErr w:type="spellEnd"/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фактическое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количество сотрудников, осуществляющих финансово-экономическую деятельность ГРБС, </w:t>
            </w:r>
            <w:r w:rsidRPr="003210BB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обладающих дипломами о высшем образовании по экономическим </w:t>
            </w:r>
            <w:r w:rsidRPr="003210BB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 xml:space="preserve">направлениям или о профессиональной переподготовке по экономическим направлениям подготовки (специальностям), не имеющих дипломов кандидата или доктора экономических наук,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 состоянию на 1 января текущего финансового года;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3210BB">
              <w:rPr>
                <w:rFonts w:ascii="Times New Roman" w:eastAsia="Batang" w:hAnsi="Times New Roman"/>
                <w:sz w:val="24"/>
                <w:szCs w:val="24"/>
              </w:rPr>
              <w:t>N</w:t>
            </w:r>
            <w:r w:rsidRPr="003210BB">
              <w:rPr>
                <w:rFonts w:ascii="Times New Roman" w:eastAsia="Batang" w:hAnsi="Times New Roman"/>
                <w:sz w:val="24"/>
                <w:szCs w:val="24"/>
                <w:vertAlign w:val="subscript"/>
              </w:rPr>
              <w:t>s</w:t>
            </w:r>
            <w:proofErr w:type="spellEnd"/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фактическое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количество сотрудников, осуществляющих финансово-экономическую деятельность ГРБС, </w:t>
            </w:r>
            <w:r w:rsidRPr="003210BB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обладающих дипломами о среднем профессиональном образовании по экономическим направлениям подготовки (специальностям) или обладающих дипломами о высшем профессиональном образовании, но, не имеющих дипломов о высшем экономическом образовании или о профессиональной переподготовке по экономическим направлениям подготовки (специальностям),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по состоянию на 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 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1 января года текущего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финансового года;</w:t>
            </w:r>
            <w:proofErr w:type="gramEnd"/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общее фактическое количество сотрудников, осуществляющих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финансово-экономическую деятельность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ГРБС,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 состоянию на 1 января те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кущего финансового года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E(P)=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68"/>
                <w:sz w:val="24"/>
                <w:szCs w:val="24"/>
                <w:lang w:val="en-US"/>
              </w:rPr>
              <w:object w:dxaOrig="3480" w:dyaOrig="1480">
                <v:shape id="_x0000_i1055" type="#_x0000_t75" style="width:173.25pt;height:73.5pt" o:ole="" fillcolor="window">
                  <v:imagedata r:id="rId66" o:title=""/>
                </v:shape>
                <o:OLEObject Type="Embed" ProgID="Equation.3" ShapeID="_x0000_i1055" DrawAspect="Content" ObjectID="_1494933064" r:id="rId67"/>
              </w:object>
            </w: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Положительно расценивается наличие в штате сотрудников, осуществляющих финансово-экономическую деятельность ГРБС, имеющих дипломы кандидата или доктора экономиче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ских наук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Целевым ориентиром для ГРБС является наличие в штате сотрудников, осуществляющих финансово-экономическую деятельность ГРБС 100%, </w:t>
            </w:r>
            <w:r w:rsidRPr="003210BB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обладающих дипломами о </w:t>
            </w:r>
            <w:r w:rsidRPr="003210BB">
              <w:rPr>
                <w:rFonts w:ascii="Times New Roman" w:hAnsi="Times New Roman"/>
                <w:snapToGrid w:val="0"/>
                <w:sz w:val="24"/>
                <w:szCs w:val="24"/>
              </w:rPr>
              <w:lastRenderedPageBreak/>
              <w:t>высшем образовании или о профессиональной переподготовке по экономическим направлениям подготовки (специально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стям)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D3314" w:rsidTr="00231CD0">
        <w:trPr>
          <w:trHeight w:val="3959"/>
        </w:trPr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6.2. Дополнительное профессиональное образование сотрудников, осуществляющих финансово-экономическую деятельность ГРБС</w:t>
            </w:r>
          </w:p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=(</w:t>
            </w:r>
            <w:proofErr w:type="spellStart"/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kv</w:t>
            </w:r>
            <w:proofErr w:type="spellEnd"/>
            <w:r w:rsidRPr="003210BB">
              <w:rPr>
                <w:rFonts w:ascii="Times New Roman" w:hAnsi="Times New Roman"/>
                <w:sz w:val="24"/>
                <w:szCs w:val="24"/>
              </w:rPr>
              <w:t>/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)</w:t>
            </w: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100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где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z w:val="24"/>
                <w:szCs w:val="24"/>
                <w:vertAlign w:val="subscript"/>
                <w:lang w:val="en-US"/>
              </w:rPr>
              <w:t>kv</w:t>
            </w:r>
            <w:proofErr w:type="spellEnd"/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количество сотрудников, осуществляющих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финансово-экономическую деятельность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ГРБС, обладающих свидетельствами (сертификатами, удостоверениями) о прохождении повышения квалификации в области экономики и финансов в течение последних трех лет;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– общее фактическое количество сотрудников, осуществляющих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финансово-экономическую деятельность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ГРБС,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по состоянию на 1 янва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ря текущего финансового года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E(P)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=</w:t>
            </w:r>
            <w:r w:rsidRPr="003210BB">
              <w:rPr>
                <w:rFonts w:ascii="Times New Roman" w:hAnsi="Times New Roman"/>
                <w:position w:val="-24"/>
                <w:sz w:val="24"/>
                <w:szCs w:val="24"/>
              </w:rPr>
              <w:object w:dxaOrig="440" w:dyaOrig="620">
                <v:shape id="_x0000_i1056" type="#_x0000_t75" style="width:21.75pt;height:30.75pt" o:ole="">
                  <v:imagedata r:id="rId68" o:title=""/>
                </v:shape>
                <o:OLEObject Type="Embed" ProgID="Equation.3" ShapeID="_x0000_i1056" DrawAspect="Content" ObjectID="_1494933065" r:id="rId69"/>
              </w:object>
            </w: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Прохождение повышения квалификации в области экономики и финансов ведет к росту уровня квалификации сотрудников, осуществляющих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финансово-экономическую деятельность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ГРБС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Целевым ориентиром для ГРБС является значение показателя, рав</w:t>
            </w:r>
            <w:r>
              <w:rPr>
                <w:rFonts w:ascii="Times New Roman" w:hAnsi="Times New Roman"/>
                <w:sz w:val="24"/>
                <w:szCs w:val="24"/>
              </w:rPr>
              <w:t>ное 100%</w:t>
            </w:r>
          </w:p>
        </w:tc>
      </w:tr>
      <w:tr w:rsidR="008D3314" w:rsidTr="00231CD0">
        <w:trPr>
          <w:trHeight w:val="3132"/>
        </w:trPr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 xml:space="preserve">6.3. Укомплектованность должностей сотрудниками,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осуществляющих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финансово-экономическую деятельность ГРБС</w:t>
            </w:r>
          </w:p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=(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/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x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100, где: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– фактическое количество сотрудников,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осуществляющих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финансово-экономическую деятельность ГРБС по состоянию на 1 января текущего финансового года;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– общее количество должностей сотрудников,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осуществляющих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финансово-экономическую деятельность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ГРБС по штатному расписанию по состоянию на 1 января текущего финансового года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E(P)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=</w:t>
            </w:r>
            <w:r w:rsidRPr="003210BB">
              <w:rPr>
                <w:rFonts w:ascii="Times New Roman" w:hAnsi="Times New Roman"/>
                <w:position w:val="-24"/>
                <w:sz w:val="24"/>
                <w:szCs w:val="24"/>
              </w:rPr>
              <w:object w:dxaOrig="440" w:dyaOrig="620">
                <v:shape id="_x0000_i1057" type="#_x0000_t75" style="width:21.75pt;height:30.75pt" o:ole="">
                  <v:imagedata r:id="rId68" o:title=""/>
                </v:shape>
                <o:OLEObject Type="Embed" ProgID="Equation.3" ShapeID="_x0000_i1057" DrawAspect="Content" ObjectID="_1494933066" r:id="rId70"/>
              </w:object>
            </w: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Положительно расценивается сокращение количества вакансий должностей сотрудников, осуществляющих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финансово-экономическую деятельность ГРБС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t>Целевым ориентиром для ГРБС является значение показателя, равное 100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%</w:t>
            </w:r>
          </w:p>
        </w:tc>
      </w:tr>
      <w:tr w:rsidR="008D3314" w:rsidTr="00231CD0">
        <w:tc>
          <w:tcPr>
            <w:tcW w:w="818" w:type="pct"/>
          </w:tcPr>
          <w:p w:rsidR="008D3314" w:rsidRPr="003210BB" w:rsidRDefault="008D3314" w:rsidP="008D3314">
            <w:pP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6.4. Количество сотрудников,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осуществляющих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финансово-экономическую деятельность ГРБС в возрасте до 35 лет, имеющих стаж работы в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lastRenderedPageBreak/>
              <w:t>подразделении более трех лет</w:t>
            </w:r>
          </w:p>
        </w:tc>
        <w:tc>
          <w:tcPr>
            <w:tcW w:w="1491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lastRenderedPageBreak/>
              <w:t>P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=(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/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)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x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100,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32"/>
                <w:sz w:val="24"/>
                <w:szCs w:val="24"/>
              </w:rPr>
              <w:t xml:space="preserve">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где: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N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vertAlign w:val="subscript"/>
              </w:rPr>
              <w:t>1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– количество сотрудников,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 xml:space="preserve">осуществляющих 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финансово-экономическую деятельность ГРБС в возрасте до 35 лет, имеющих стаж работы в подразделении более трех лет, по состоянию на 1 января текущего финансового года;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lastRenderedPageBreak/>
              <w:t>N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– общее фактическое количество </w:t>
            </w:r>
            <w:r w:rsidRPr="003210BB">
              <w:rPr>
                <w:rFonts w:ascii="Times New Roman" w:hAnsi="Times New Roman"/>
                <w:sz w:val="24"/>
                <w:szCs w:val="24"/>
              </w:rPr>
              <w:t>сотрудников, осуществляющих финансово-экономическую деятельность</w:t>
            </w: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 xml:space="preserve"> ГРБС по состоянию на 1 января текущего финансового года</w:t>
            </w:r>
          </w:p>
        </w:tc>
        <w:tc>
          <w:tcPr>
            <w:tcW w:w="480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02" w:type="pct"/>
          </w:tcPr>
          <w:p w:rsidR="008D3314" w:rsidRPr="003210BB" w:rsidRDefault="008D3314" w:rsidP="008D3314">
            <w:pPr>
              <w:ind w:left="-5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E(P)=</w:t>
            </w:r>
            <w:r w:rsidRPr="003210BB">
              <w:rPr>
                <w:rFonts w:ascii="Times New Roman" w:hAnsi="Times New Roman"/>
                <w:snapToGrid w:val="0"/>
                <w:color w:val="000000"/>
                <w:position w:val="-46"/>
                <w:sz w:val="24"/>
                <w:szCs w:val="24"/>
                <w:lang w:val="en-US"/>
              </w:rPr>
              <w:object w:dxaOrig="2120" w:dyaOrig="1040">
                <v:shape id="_x0000_i1058" type="#_x0000_t75" style="width:106.5pt;height:51.75pt" o:ole="" fillcolor="window">
                  <v:imagedata r:id="rId71" o:title=""/>
                </v:shape>
                <o:OLEObject Type="Embed" ProgID="Equation.3" ShapeID="_x0000_i1058" DrawAspect="Content" ObjectID="_1494933067" r:id="rId72"/>
              </w:object>
            </w:r>
          </w:p>
        </w:tc>
        <w:tc>
          <w:tcPr>
            <w:tcW w:w="1009" w:type="pct"/>
          </w:tcPr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</w:pPr>
            <w:r w:rsidRPr="003210BB"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Целевым ориентиром для ГРБС является значение показателя, большее или равное 25%</w:t>
            </w:r>
          </w:p>
          <w:p w:rsidR="008D3314" w:rsidRPr="003210BB" w:rsidRDefault="008D3314" w:rsidP="008D3314">
            <w:pPr>
              <w:ind w:left="-5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3314" w:rsidRDefault="008D3314"/>
    <w:p w:rsidR="008D3314" w:rsidRDefault="008D3314"/>
    <w:p w:rsidR="008D3314" w:rsidRPr="00614CD3" w:rsidRDefault="008D3314" w:rsidP="008D331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14CD3">
        <w:rPr>
          <w:rFonts w:ascii="Times New Roman" w:eastAsia="Calibri" w:hAnsi="Times New Roman"/>
          <w:sz w:val="28"/>
          <w:szCs w:val="28"/>
        </w:rPr>
        <w:t>Заместитель начальника финансового управления</w:t>
      </w:r>
    </w:p>
    <w:p w:rsidR="008D3314" w:rsidRPr="00614CD3" w:rsidRDefault="008D3314" w:rsidP="008D3314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 w:rsidRPr="00614CD3">
        <w:rPr>
          <w:rFonts w:ascii="Times New Roman" w:eastAsia="Calibri" w:hAnsi="Times New Roman"/>
          <w:sz w:val="28"/>
          <w:szCs w:val="28"/>
        </w:rPr>
        <w:t>администрации муниципального образования</w:t>
      </w:r>
    </w:p>
    <w:p w:rsidR="008D3314" w:rsidRDefault="008D3314" w:rsidP="008D3314">
      <w:r w:rsidRPr="00614CD3">
        <w:rPr>
          <w:rFonts w:ascii="Times New Roman" w:eastAsia="Calibri" w:hAnsi="Times New Roman"/>
          <w:sz w:val="28"/>
          <w:szCs w:val="28"/>
        </w:rPr>
        <w:t xml:space="preserve">Новокубанский район, начальник бюджетного отдела                                                                                        </w:t>
      </w:r>
      <w:proofErr w:type="spellStart"/>
      <w:r w:rsidRPr="00614CD3">
        <w:rPr>
          <w:rFonts w:ascii="Times New Roman" w:eastAsia="Calibri" w:hAnsi="Times New Roman"/>
          <w:sz w:val="28"/>
          <w:szCs w:val="28"/>
        </w:rPr>
        <w:t>Т.В.Максимова</w:t>
      </w:r>
      <w:proofErr w:type="spellEnd"/>
    </w:p>
    <w:sectPr w:rsidR="008D3314" w:rsidSect="008D3314">
      <w:headerReference w:type="default" r:id="rId73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0BE8" w:rsidRDefault="00E30BE8" w:rsidP="008D3314">
      <w:pPr>
        <w:spacing w:after="0" w:line="240" w:lineRule="auto"/>
      </w:pPr>
      <w:r>
        <w:separator/>
      </w:r>
    </w:p>
  </w:endnote>
  <w:endnote w:type="continuationSeparator" w:id="0">
    <w:p w:rsidR="00E30BE8" w:rsidRDefault="00E30BE8" w:rsidP="008D33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0BE8" w:rsidRDefault="00E30BE8" w:rsidP="008D3314">
      <w:pPr>
        <w:spacing w:after="0" w:line="240" w:lineRule="auto"/>
      </w:pPr>
      <w:r>
        <w:separator/>
      </w:r>
    </w:p>
  </w:footnote>
  <w:footnote w:type="continuationSeparator" w:id="0">
    <w:p w:rsidR="00E30BE8" w:rsidRDefault="00E30BE8" w:rsidP="008D33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701810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8D3314" w:rsidRPr="008D3314" w:rsidRDefault="008D3314" w:rsidP="008D3314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8D3314">
          <w:rPr>
            <w:rFonts w:ascii="Times New Roman" w:hAnsi="Times New Roman"/>
            <w:sz w:val="24"/>
            <w:szCs w:val="24"/>
          </w:rPr>
          <w:fldChar w:fldCharType="begin"/>
        </w:r>
        <w:r w:rsidRPr="008D3314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D3314">
          <w:rPr>
            <w:rFonts w:ascii="Times New Roman" w:hAnsi="Times New Roman"/>
            <w:sz w:val="24"/>
            <w:szCs w:val="24"/>
          </w:rPr>
          <w:fldChar w:fldCharType="separate"/>
        </w:r>
        <w:r w:rsidR="008B1131">
          <w:rPr>
            <w:rFonts w:ascii="Times New Roman" w:hAnsi="Times New Roman"/>
            <w:noProof/>
            <w:sz w:val="24"/>
            <w:szCs w:val="24"/>
          </w:rPr>
          <w:t>40</w:t>
        </w:r>
        <w:r w:rsidRPr="008D3314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988"/>
    <w:rsid w:val="00037D84"/>
    <w:rsid w:val="00166CCE"/>
    <w:rsid w:val="00231CD0"/>
    <w:rsid w:val="00281032"/>
    <w:rsid w:val="005C4D67"/>
    <w:rsid w:val="008B1131"/>
    <w:rsid w:val="008D3314"/>
    <w:rsid w:val="00D704A2"/>
    <w:rsid w:val="00E30BE8"/>
    <w:rsid w:val="00FB3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8D3314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8D331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8D3314"/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5"/>
    <w:uiPriority w:val="99"/>
    <w:unhideWhenUsed/>
    <w:rsid w:val="008D331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8D331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7"/>
    <w:uiPriority w:val="99"/>
    <w:unhideWhenUsed/>
    <w:rsid w:val="008D331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rsid w:val="008D3314"/>
    <w:rPr>
      <w:rFonts w:ascii="Tahoma" w:eastAsia="Times New Roman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8D331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8D3314"/>
    <w:rPr>
      <w:rFonts w:ascii="Calibri" w:eastAsia="Times New Roman" w:hAnsi="Calibri" w:cs="Times New Roman"/>
      <w:lang w:eastAsia="ru-RU"/>
    </w:rPr>
  </w:style>
  <w:style w:type="paragraph" w:styleId="a6">
    <w:name w:val="header"/>
    <w:basedOn w:val="a"/>
    <w:link w:val="a5"/>
    <w:uiPriority w:val="99"/>
    <w:unhideWhenUsed/>
    <w:rsid w:val="008D331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7">
    <w:name w:val="Нижний колонтитул Знак"/>
    <w:basedOn w:val="a0"/>
    <w:link w:val="a8"/>
    <w:uiPriority w:val="99"/>
    <w:rsid w:val="008D3314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7"/>
    <w:uiPriority w:val="99"/>
    <w:unhideWhenUsed/>
    <w:rsid w:val="008D331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oleObject" Target="embeddings/oleObject17.bin"/><Relationship Id="rId21" Type="http://schemas.openxmlformats.org/officeDocument/2006/relationships/image" Target="media/image8.wmf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50" Type="http://schemas.openxmlformats.org/officeDocument/2006/relationships/oleObject" Target="embeddings/oleObject22.bin"/><Relationship Id="rId55" Type="http://schemas.openxmlformats.org/officeDocument/2006/relationships/oleObject" Target="embeddings/oleObject25.bin"/><Relationship Id="rId63" Type="http://schemas.openxmlformats.org/officeDocument/2006/relationships/oleObject" Target="embeddings/oleObject29.bin"/><Relationship Id="rId68" Type="http://schemas.openxmlformats.org/officeDocument/2006/relationships/image" Target="media/image30.wmf"/><Relationship Id="rId7" Type="http://schemas.openxmlformats.org/officeDocument/2006/relationships/image" Target="media/image1.wmf"/><Relationship Id="rId71" Type="http://schemas.openxmlformats.org/officeDocument/2006/relationships/image" Target="media/image31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2.wmf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image" Target="media/image13.wmf"/><Relationship Id="rId37" Type="http://schemas.openxmlformats.org/officeDocument/2006/relationships/oleObject" Target="embeddings/oleObject16.bin"/><Relationship Id="rId40" Type="http://schemas.openxmlformats.org/officeDocument/2006/relationships/image" Target="media/image17.wmf"/><Relationship Id="rId45" Type="http://schemas.openxmlformats.org/officeDocument/2006/relationships/oleObject" Target="embeddings/oleObject20.bin"/><Relationship Id="rId53" Type="http://schemas.openxmlformats.org/officeDocument/2006/relationships/image" Target="media/image23.wmf"/><Relationship Id="rId58" Type="http://schemas.openxmlformats.org/officeDocument/2006/relationships/image" Target="media/image25.wmf"/><Relationship Id="rId66" Type="http://schemas.openxmlformats.org/officeDocument/2006/relationships/image" Target="media/image29.wmf"/><Relationship Id="rId7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image" Target="media/image15.wmf"/><Relationship Id="rId49" Type="http://schemas.openxmlformats.org/officeDocument/2006/relationships/image" Target="media/image21.wmf"/><Relationship Id="rId57" Type="http://schemas.openxmlformats.org/officeDocument/2006/relationships/oleObject" Target="embeddings/oleObject26.bin"/><Relationship Id="rId61" Type="http://schemas.openxmlformats.org/officeDocument/2006/relationships/oleObject" Target="embeddings/oleObject28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3.bin"/><Relationship Id="rId44" Type="http://schemas.openxmlformats.org/officeDocument/2006/relationships/image" Target="media/image19.wmf"/><Relationship Id="rId52" Type="http://schemas.openxmlformats.org/officeDocument/2006/relationships/oleObject" Target="embeddings/oleObject23.bin"/><Relationship Id="rId60" Type="http://schemas.openxmlformats.org/officeDocument/2006/relationships/image" Target="media/image26.wmf"/><Relationship Id="rId65" Type="http://schemas.openxmlformats.org/officeDocument/2006/relationships/oleObject" Target="embeddings/oleObject30.bin"/><Relationship Id="rId73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oleObject" Target="embeddings/oleObject19.bin"/><Relationship Id="rId48" Type="http://schemas.openxmlformats.org/officeDocument/2006/relationships/hyperlink" Target="garantF1://12012604.20001" TargetMode="External"/><Relationship Id="rId56" Type="http://schemas.openxmlformats.org/officeDocument/2006/relationships/image" Target="media/image24.wmf"/><Relationship Id="rId64" Type="http://schemas.openxmlformats.org/officeDocument/2006/relationships/image" Target="media/image28.wmf"/><Relationship Id="rId69" Type="http://schemas.openxmlformats.org/officeDocument/2006/relationships/oleObject" Target="embeddings/oleObject32.bin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72" Type="http://schemas.openxmlformats.org/officeDocument/2006/relationships/oleObject" Target="embeddings/oleObject34.bin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oleObject" Target="embeddings/oleObject14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7.bin"/><Relationship Id="rId67" Type="http://schemas.openxmlformats.org/officeDocument/2006/relationships/oleObject" Target="embeddings/oleObject31.bin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54" Type="http://schemas.openxmlformats.org/officeDocument/2006/relationships/oleObject" Target="embeddings/oleObject24.bin"/><Relationship Id="rId62" Type="http://schemas.openxmlformats.org/officeDocument/2006/relationships/image" Target="media/image27.wmf"/><Relationship Id="rId70" Type="http://schemas.openxmlformats.org/officeDocument/2006/relationships/oleObject" Target="embeddings/oleObject33.bin"/><Relationship Id="rId75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5794</Words>
  <Characters>33028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Соляник Елена Станиславовна</dc:creator>
  <cp:keywords/>
  <dc:description/>
  <cp:lastModifiedBy>Соляник Елена Станиславовна</cp:lastModifiedBy>
  <cp:revision>5</cp:revision>
  <cp:lastPrinted>2015-06-04T11:23:00Z</cp:lastPrinted>
  <dcterms:created xsi:type="dcterms:W3CDTF">2015-06-04T09:48:00Z</dcterms:created>
  <dcterms:modified xsi:type="dcterms:W3CDTF">2015-06-04T11:23:00Z</dcterms:modified>
</cp:coreProperties>
</file>