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ADA" w:rsidRDefault="00A21ADA" w:rsidP="00A21ADA">
      <w:pPr>
        <w:pStyle w:val="ConsPlusNormal"/>
        <w:widowControl/>
        <w:ind w:left="9639" w:firstLine="0"/>
        <w:jc w:val="lef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№ 1</w:t>
      </w:r>
    </w:p>
    <w:p w:rsidR="00A21ADA" w:rsidRDefault="00A21ADA" w:rsidP="00A21ADA">
      <w:pPr>
        <w:pStyle w:val="ConsPlusNormal"/>
        <w:tabs>
          <w:tab w:val="left" w:pos="8505"/>
        </w:tabs>
        <w:suppressAutoHyphens/>
        <w:ind w:left="9639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Методике расчета показателей и оценки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качества финансового менеджмента  главных распорядителей средств бюджета муниципального 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Новокубанский район, главных администраторов     доходов (источников финансирования дефицита) бюджета муниципального образования Новокубанский район</w:t>
      </w:r>
    </w:p>
    <w:p w:rsidR="00A21ADA" w:rsidRDefault="00A21ADA" w:rsidP="00A21ADA">
      <w:pPr>
        <w:spacing w:after="0" w:line="240" w:lineRule="auto"/>
        <w:ind w:left="2977" w:right="2977"/>
        <w:jc w:val="center"/>
        <w:rPr>
          <w:rFonts w:ascii="Times New Roman" w:hAnsi="Times New Roman"/>
          <w:b/>
          <w:sz w:val="28"/>
          <w:szCs w:val="28"/>
        </w:rPr>
      </w:pPr>
    </w:p>
    <w:p w:rsidR="00A21ADA" w:rsidRDefault="00A21ADA" w:rsidP="00A21ADA">
      <w:pPr>
        <w:spacing w:after="0" w:line="240" w:lineRule="auto"/>
        <w:ind w:left="2977" w:right="297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 ПОКАЗАТЕЛЕЙ</w:t>
      </w:r>
    </w:p>
    <w:p w:rsidR="00A21ADA" w:rsidRDefault="00A21ADA" w:rsidP="00A21ADA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мониторинга </w:t>
      </w:r>
      <w:proofErr w:type="gramStart"/>
      <w:r>
        <w:rPr>
          <w:rFonts w:ascii="Times New Roman" w:hAnsi="Times New Roman"/>
          <w:b/>
          <w:sz w:val="28"/>
          <w:szCs w:val="28"/>
        </w:rPr>
        <w:t>качества финансового менеджмента главных распорядителей средств бюджета муниципального образования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Новокубанский район, главных администраторов доходов (источников финансирования дефицита) бюджета муниципального образования Новокубанский район </w:t>
      </w:r>
      <w:r>
        <w:rPr>
          <w:rFonts w:ascii="Times New Roman" w:hAnsi="Times New Roman"/>
          <w:b/>
          <w:sz w:val="28"/>
        </w:rPr>
        <w:t>в части документов, используемых при составлении проекта бюджета муниципального образования Новокубанский район на очередной</w:t>
      </w:r>
    </w:p>
    <w:p w:rsidR="00A21ADA" w:rsidRDefault="00A21ADA" w:rsidP="00A21ADA">
      <w:pPr>
        <w:spacing w:after="0" w:line="48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</w:rPr>
        <w:t>финансовый год и плановый период</w:t>
      </w:r>
    </w:p>
    <w:tbl>
      <w:tblPr>
        <w:tblW w:w="14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11"/>
        <w:gridCol w:w="4175"/>
        <w:gridCol w:w="1559"/>
        <w:gridCol w:w="2692"/>
        <w:gridCol w:w="3183"/>
      </w:tblGrid>
      <w:tr w:rsidR="00A21ADA" w:rsidTr="00A21ADA">
        <w:trPr>
          <w:trHeight w:val="1139"/>
          <w:tblHeader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ADA" w:rsidRDefault="00A21A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ADA" w:rsidRDefault="00A21A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Расчет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ADA" w:rsidRDefault="00A21ADA">
            <w:pPr>
              <w:ind w:left="34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Вес группы в оценке/ показателя в группе (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%)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ADA" w:rsidRDefault="00A21ADA">
            <w:pPr>
              <w:tabs>
                <w:tab w:val="left" w:pos="108"/>
              </w:tabs>
              <w:ind w:left="-288" w:firstLine="288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ADA" w:rsidRDefault="00A21A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Комментарий</w:t>
            </w:r>
          </w:p>
        </w:tc>
      </w:tr>
      <w:tr w:rsidR="00A21ADA" w:rsidTr="00A21ADA">
        <w:trPr>
          <w:trHeight w:val="43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ADA" w:rsidRDefault="00A21AD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 Реестр расходных обязательств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ADA" w:rsidRDefault="00A21A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1ADA" w:rsidRDefault="00A21ADA">
            <w:pPr>
              <w:tabs>
                <w:tab w:val="left" w:pos="108"/>
              </w:tabs>
              <w:ind w:left="-288" w:firstLine="288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DA" w:rsidRDefault="00A21ADA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21ADA" w:rsidTr="00A21ADA">
        <w:trPr>
          <w:trHeight w:val="4491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1.1. Своевременность представления уточненного реестра расходных обязатель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ств гл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авным распорядителем средств бюджета муниципального образования Новокубанский район (далее – ГРБС)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количество дней отклонения даты регистрации в финансовом управлении администрации муниципального образования Новокубанский район (далее – финансовое управление) сопроводительного письма ГРБС, к которому приложен уточненный реестр расходных обязательств ГРБС на очередной финансовый год и на плановый период, от даты представления уточненного реестра расходных обязательств, установленной финансовым управлением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tabs>
                <w:tab w:val="left" w:pos="108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Р)=0, если Р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&gt;</w:t>
            </w:r>
            <w:r>
              <w:rPr>
                <w:rFonts w:ascii="Times New Roman" w:hAnsi="Times New Roman"/>
                <w:sz w:val="24"/>
                <w:szCs w:val="24"/>
              </w:rPr>
              <w:t>5;</w:t>
            </w:r>
          </w:p>
          <w:p w:rsidR="00A21ADA" w:rsidRDefault="00A21ADA">
            <w:pPr>
              <w:tabs>
                <w:tab w:val="left" w:pos="108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Р)=0,2, если Р=4;</w:t>
            </w:r>
          </w:p>
          <w:p w:rsidR="00A21ADA" w:rsidRDefault="00A21ADA">
            <w:pPr>
              <w:tabs>
                <w:tab w:val="left" w:pos="108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Р)=0,4, если Р=3;</w:t>
            </w:r>
          </w:p>
          <w:p w:rsidR="00A21ADA" w:rsidRDefault="00A21ADA">
            <w:pPr>
              <w:tabs>
                <w:tab w:val="left" w:pos="108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Р)=0,6, если Р=2;</w:t>
            </w:r>
          </w:p>
          <w:p w:rsidR="00A21ADA" w:rsidRDefault="00A21ADA">
            <w:pPr>
              <w:tabs>
                <w:tab w:val="left" w:pos="108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Р)=0,8, если Р=1;</w:t>
            </w:r>
          </w:p>
          <w:p w:rsidR="00A21ADA" w:rsidRDefault="00A21ADA">
            <w:pPr>
              <w:tabs>
                <w:tab w:val="left" w:pos="108"/>
              </w:tabs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Р)=1, если Р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&lt;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Положительное значение показателя свидетельствует о несоблюдении срока представления уточненного реестра расходных обязательств ГРБС, установленного финансовым управлением</w:t>
            </w:r>
          </w:p>
          <w:p w:rsidR="00A21ADA" w:rsidRDefault="00A21AD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Целевым ориентиром является значение показателя, равное нулю</w:t>
            </w:r>
          </w:p>
        </w:tc>
      </w:tr>
      <w:tr w:rsidR="00A21ADA" w:rsidTr="00A21ADA">
        <w:trPr>
          <w:trHeight w:val="2085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DA" w:rsidRDefault="00A21ADA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 Полнота общей информации о расходных обязательствах, указанных в уточнённом реестре расходных обязательств</w:t>
            </w:r>
          </w:p>
          <w:p w:rsidR="00A21ADA" w:rsidRDefault="00A21ADA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</w:t>
            </w:r>
            <w:r>
              <w:rPr>
                <w:rFonts w:ascii="Times New Roman" w:hAnsi="Times New Roman"/>
                <w:sz w:val="24"/>
                <w:szCs w:val="24"/>
              </w:rPr>
              <w:t>=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>, где:</w:t>
            </w:r>
          </w:p>
          <w:p w:rsidR="00A21ADA" w:rsidRDefault="00A21AD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количество расходных обязательств ГРБС на очередной финансовый год и на плановый период, для которых не указано хотя бы одно из следующих полей: реквизиты, раздел (глава, подраздел), статья, часть, пункт, подпункт, абзац, дата вступления и срок действия нормативного правового акта,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являющегося основанием для возникновения расходного обязательства муниципального образования Новокубанский район (далее – расходного обязательства), коды классификации расходов бюджета муниципального образования Новокубанский район, по которым предусмотрены бюджетные ассигнования на исполнение расходного обязательства;</w:t>
            </w:r>
          </w:p>
          <w:p w:rsidR="00A21ADA" w:rsidRDefault="00A21AD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общее количество расходных обязательств ГРБС, подлежащих исполнению в очередном финансовом году и плановом периоде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  <w:lang w:val="en-US"/>
              </w:rPr>
              <w:t>E(P)</w:t>
            </w:r>
            <w:r>
              <w:rPr>
                <w:rFonts w:ascii="Times New Roman" w:hAnsi="Times New Roman"/>
                <w:snapToGrid w:val="0"/>
                <w:color w:val="000000"/>
                <w:sz w:val="24"/>
                <w:szCs w:val="24"/>
              </w:rPr>
              <w:t>=1-Р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характеризует, насколько полно ГРБС отражена информация о расходных обязательствах, подлежащих исполнению в очередном финансовом году и плановом периоде</w:t>
            </w:r>
          </w:p>
          <w:p w:rsidR="00A21ADA" w:rsidRDefault="00A21AD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Целевым ориентиром для ГРБС является значение показателя, равное нулю</w:t>
            </w:r>
          </w:p>
        </w:tc>
      </w:tr>
      <w:tr w:rsidR="00A21ADA" w:rsidTr="00A21ADA">
        <w:trPr>
          <w:trHeight w:val="425"/>
        </w:trPr>
        <w:tc>
          <w:tcPr>
            <w:tcW w:w="7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 Обоснования бюджетных ассигнований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DA" w:rsidRDefault="00A21AD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DA" w:rsidRDefault="00A21ADA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21ADA" w:rsidTr="00A21ADA">
        <w:trPr>
          <w:trHeight w:val="741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DA" w:rsidRDefault="00A21ADA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 Сроки представления уточнённых обоснований бюджетных ассигнований на очередной финансовый год и на плановый период</w:t>
            </w:r>
          </w:p>
          <w:p w:rsidR="00A21ADA" w:rsidRDefault="00A21ADA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– количество дней отклонения даты регистрации в финансовом управлении сопроводительного письма ГРБС, к которому приложены обоснования бюджетных ассигнований ГРБС на очередной финансовый год и плановый период,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от даты представления обоснований бюджетных ассигнований на очередной финансовый год и плановый период, установленной финансовым управлением</w:t>
            </w:r>
          </w:p>
          <w:p w:rsidR="00A21ADA" w:rsidRDefault="00A21AD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=0 в случае представления уточнённых обоснований бюджетных ассигнований ГРБС на очередной финансовый год и на плановый период в установленный финансовым управлением срок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DA" w:rsidRDefault="00A21ADA">
            <w:pPr>
              <w:spacing w:after="0" w:line="240" w:lineRule="auto"/>
              <w:ind w:left="34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Р)=0, если Р&gt;5;</w:t>
            </w:r>
          </w:p>
          <w:p w:rsidR="00A21ADA" w:rsidRDefault="00A21AD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Р)=0,2, если Р=4;</w:t>
            </w:r>
          </w:p>
          <w:p w:rsidR="00A21ADA" w:rsidRDefault="00A21AD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Р)=0,4, если Р=3;</w:t>
            </w:r>
          </w:p>
          <w:p w:rsidR="00A21ADA" w:rsidRDefault="00A21AD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Р)=0,6, если Р=2;</w:t>
            </w:r>
          </w:p>
          <w:p w:rsidR="00A21ADA" w:rsidRDefault="00A21AD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Р)=0,8, если Р=1;</w:t>
            </w:r>
          </w:p>
          <w:p w:rsidR="00A21ADA" w:rsidRDefault="00A21ADA">
            <w:pPr>
              <w:spacing w:after="0" w:line="240" w:lineRule="auto"/>
              <w:ind w:left="33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Е(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Р)=1, если Р≤0</w:t>
            </w:r>
          </w:p>
          <w:p w:rsidR="00A21ADA" w:rsidRDefault="00A21ADA">
            <w:pPr>
              <w:spacing w:after="0" w:line="360" w:lineRule="auto"/>
              <w:ind w:left="33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DA" w:rsidRDefault="00A21AD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Положительное значение показателя свидетельствует о несоблюдении сроков представления уточнённых обоснований бюджетных ассигнований ГРБС на очередной финансовый год и на плановый период 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финансовое управление</w:t>
            </w:r>
          </w:p>
          <w:p w:rsidR="00A21ADA" w:rsidRDefault="00A21AD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Целевым ориентиром является значение показателя, равное нулю</w:t>
            </w:r>
          </w:p>
          <w:p w:rsidR="00A21ADA" w:rsidRDefault="00A21AD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1ADA" w:rsidTr="00A21ADA">
        <w:trPr>
          <w:trHeight w:val="458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2.2. Устойчивость системы показателей непосредственных результатов деятельности ГРБС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=(Q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/Q)×100, где:</w:t>
            </w:r>
          </w:p>
          <w:p w:rsidR="00A21ADA" w:rsidRDefault="00A21AD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количество показателей непосредственных результатов деятельности ГРБС, указанных в уточнённых обоснованиях бюджетных ассигнований на очередной финансовый год и плановый период, наименования которых совпадают с наименованиями показателей непосредственных результатов деятельности ГРБС, указанных в уточнённых обоснованиях бюджетных ассигнований,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представленных в финансовое управление в отчетном финансовом году;</w:t>
            </w:r>
          </w:p>
          <w:p w:rsidR="00A21ADA" w:rsidRDefault="00A21AD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общее количество показателей непосредственных результатов деятельности ГРБС, указанных в уточнённых обоснованиях бюджетных ассигнований на очередной финансовый год и плановый период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E(P)=</w:t>
            </w:r>
            <w:r>
              <w:rPr>
                <w:rFonts w:ascii="Times New Roman" w:hAnsi="Times New Roman"/>
                <w:position w:val="-50"/>
                <w:sz w:val="24"/>
                <w:szCs w:val="24"/>
              </w:rPr>
              <w:object w:dxaOrig="2400" w:dyaOrig="111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0pt;height:55.5pt" o:ole="" fillcolor="window">
                  <v:imagedata r:id="rId7" o:title=""/>
                </v:shape>
                <o:OLEObject Type="Embed" ProgID="Equation.3" ShapeID="_x0000_i1025" DrawAspect="Content" ObjectID="_1494933055" r:id="rId8"/>
              </w:objec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характеризует устойчивость набора показателей непосредственных результатов деятельности ГРБС, представленных в уточнённых обоснованиях бюджетных ассигнований на очередной финансовый год и на плановый период</w:t>
            </w:r>
          </w:p>
          <w:p w:rsidR="00A21ADA" w:rsidRDefault="00A21AD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Целевым ориентиром для ГРБС является значение показателя, равное 90% и более</w:t>
            </w:r>
          </w:p>
        </w:tc>
      </w:tr>
      <w:tr w:rsidR="00A21ADA" w:rsidTr="00A21ADA">
        <w:trPr>
          <w:trHeight w:val="410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2.3.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Охват в уточнённых обоснованиях бюджетных ассигнований на очередной финансовый год и на плановый период показателями непосредственных результатов деятельности ГРБС (пояснительными записками, составленными в соответствии с Методических рекомендаций по составлению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предварительных реестров расходных обязательств, обоснований бюджетных ассигнований на очередной финансовый год и на плановый период, разработанных в соответствии с графиком составления проекта бюджета муниципального образования Новокубанский район на очередной финансовый год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 на плановый период, утверждённого постановлением администрации муниципального образования Новокубанский район от 17 мая 2012 года № 779 (далее соответственно – пояснительные записки, Методические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рекомендации)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DA" w:rsidRDefault="00A21AD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=(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)×100, где:</w:t>
            </w:r>
          </w:p>
          <w:p w:rsidR="00A21ADA" w:rsidRDefault="00A21AD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сумма бюджетных ассигнований ГРБС на очередной финансовый год и на плановый период, для которых в уточнённых обоснованиях бюджетных ассигнований на очередной финансовый год и плановый период представлены показатели непосредственных результатов деятельности ГРБС (пояснительные записки);</w:t>
            </w:r>
          </w:p>
          <w:p w:rsidR="00A21ADA" w:rsidRDefault="00A21AD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общая сумма бюджетных ассигнований ГРБС на очередной финансовый год и на плановый период</w:t>
            </w:r>
          </w:p>
          <w:p w:rsidR="00A21ADA" w:rsidRDefault="00A21AD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DA" w:rsidRDefault="00A21A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E(P)=</w:t>
            </w:r>
            <w:r>
              <w:rPr>
                <w:rFonts w:ascii="Times New Roman" w:hAnsi="Times New Roman"/>
                <w:position w:val="-50"/>
                <w:sz w:val="24"/>
                <w:szCs w:val="24"/>
              </w:rPr>
              <w:object w:dxaOrig="2400" w:dyaOrig="1125">
                <v:shape id="_x0000_i1026" type="#_x0000_t75" style="width:120pt;height:56.25pt" o:ole="" fillcolor="window">
                  <v:imagedata r:id="rId9" o:title=""/>
                </v:shape>
                <o:OLEObject Type="Embed" ProgID="Equation.3" ShapeID="_x0000_i1026" DrawAspect="Content" ObjectID="_1494933056" r:id="rId10"/>
              </w:object>
            </w:r>
          </w:p>
          <w:p w:rsidR="00A21ADA" w:rsidRDefault="00A21A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характеризует, насколько полно ГРБС обосновал объемы бюджетных ассигнований, доведенные до него финансовым управлением при составлении проекта решения о бюджете муниципального образования Новокубанский район, показателями непосредственных результатов деятельности ГРБС (пояснительными записками)</w:t>
            </w:r>
          </w:p>
          <w:p w:rsidR="00A21ADA" w:rsidRDefault="00A21AD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Целевым ориентиром для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ГРБС является значение показателя, равное 90% и более</w:t>
            </w:r>
          </w:p>
        </w:tc>
      </w:tr>
      <w:tr w:rsidR="00A21ADA" w:rsidTr="00A21ADA">
        <w:trPr>
          <w:trHeight w:val="1731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DA" w:rsidRDefault="00A21ADA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2.4. Непосредственные результаты деятельности ГРБС (пояснительные записки), приведенные в уточнённых обоснованиях бюджетных ассигнований на очередной финансовый год и на плановый период (в количественном выражении)</w:t>
            </w:r>
          </w:p>
          <w:p w:rsidR="00A21ADA" w:rsidRDefault="00A21ADA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=(Q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/Q)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/>
                <w:sz w:val="24"/>
                <w:szCs w:val="24"/>
              </w:rPr>
              <w:t>100, где:</w:t>
            </w:r>
          </w:p>
          <w:p w:rsidR="00A21ADA" w:rsidRDefault="00A21AD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количество видов бюджетных ассигнований по бюджетным ассигнованиям ГРБС на очередной финансовый год и на плановый период, для которых в уточнённых обоснованиях бюджетных ассигнований на очередной финансовый год и на плановый период представлены показатели непосредственных результатов деятельности ГРБС (пояснительные записки);</w:t>
            </w:r>
          </w:p>
          <w:p w:rsidR="00A21ADA" w:rsidRDefault="00A21AD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общее количество видов бюджетных ассигнований по бюджетным ассигнованиям ГРБС на очередной финансовый год и на плановый период, представленных в уточнённых обоснованиях бюджетных ассигнований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E(P)=</w:t>
            </w:r>
            <w:r>
              <w:rPr>
                <w:rFonts w:ascii="Times New Roman" w:hAnsi="Times New Roman"/>
                <w:position w:val="-24"/>
                <w:sz w:val="24"/>
                <w:szCs w:val="24"/>
              </w:rPr>
              <w:object w:dxaOrig="435" w:dyaOrig="615">
                <v:shape id="_x0000_i1027" type="#_x0000_t75" style="width:21.75pt;height:30.75pt" o:ole="" fillcolor="window">
                  <v:imagedata r:id="rId11" o:title=""/>
                </v:shape>
                <o:OLEObject Type="Embed" ProgID="Equation.3" ShapeID="_x0000_i1027" DrawAspect="Content" ObjectID="_1494933057" r:id="rId12"/>
              </w:objec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показателя характеризует,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 сколько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полно в количественном выражении для бюджетных ассигнований ГРБС на очередной финансовый год и на плановый период представлены показатели непосредственных результатов деятельности ГРБС (пояснительные записки)</w:t>
            </w:r>
          </w:p>
          <w:p w:rsidR="00A21ADA" w:rsidRDefault="00A21AD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Целевым ориентиром для ГРБС является значение показателя, равное 100%</w:t>
            </w:r>
          </w:p>
        </w:tc>
      </w:tr>
      <w:tr w:rsidR="00A21ADA" w:rsidTr="00A21ADA">
        <w:trPr>
          <w:trHeight w:val="540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1ADA" w:rsidRDefault="00A21ADA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2.5. Взаимосвязь показателей непосредственных результатов 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ГРБС с достижением показателей конечных результатов деятельности ГРБС (в денежном выражении)</w:t>
            </w:r>
          </w:p>
          <w:p w:rsidR="00A21ADA" w:rsidRDefault="00A21ADA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lastRenderedPageBreak/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=(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/>
                <w:sz w:val="24"/>
                <w:szCs w:val="24"/>
              </w:rPr>
              <w:t>100, где:</w:t>
            </w:r>
          </w:p>
          <w:p w:rsidR="00A21ADA" w:rsidRDefault="00A21AD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сумма объемов бюджетных ассигнований на очередной финансовый год и на плановый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период, для которых в уточнённых обоснованиях бюджетных ассигнований ГРБС на очередной финансовый год и на плановый период указаны показатели конечных результатов деятельности ГРБС, вклад в достижение которых вносят результаты использования данного бюджетного ассигнования;</w:t>
            </w:r>
          </w:p>
          <w:p w:rsidR="00A21ADA" w:rsidRDefault="00A21AD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общая сумма бюджетных ассигнований на очередной финансовый год и плановый период, для которых в уточнённых обоснованиях бюджетных ассигнований ГРБС на очередной финансовый год и на плановый период представлены показатели непосредственных результатов деятельности ГРБС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E(P)=</w:t>
            </w:r>
            <w:r>
              <w:rPr>
                <w:rFonts w:ascii="Times New Roman" w:hAnsi="Times New Roman"/>
                <w:position w:val="-24"/>
                <w:sz w:val="24"/>
                <w:szCs w:val="24"/>
              </w:rPr>
              <w:object w:dxaOrig="435" w:dyaOrig="615">
                <v:shape id="_x0000_i1028" type="#_x0000_t75" style="width:21.75pt;height:30.75pt" o:ole="" fillcolor="window">
                  <v:imagedata r:id="rId13" o:title=""/>
                </v:shape>
                <o:OLEObject Type="Embed" ProgID="Equation.3" ShapeID="_x0000_i1028" DrawAspect="Content" ObjectID="_1494933058" r:id="rId14"/>
              </w:objec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Значение показателя характеризует, насколько полно ГРБС в уточнённых обоснованиях бюджетных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ассигнований сопоставил показатели непосредственных результатов деятельности ГРБС с достижением конечных результатов деятельности ГРБС</w:t>
            </w:r>
          </w:p>
          <w:p w:rsidR="00A21ADA" w:rsidRDefault="00A21AD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Целевым ориентиром для ГРБС является значение показателя, равное 100%</w:t>
            </w:r>
          </w:p>
        </w:tc>
      </w:tr>
      <w:tr w:rsidR="00A21ADA" w:rsidTr="00A21ADA">
        <w:trPr>
          <w:trHeight w:val="7073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spacing w:after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2.6. Взаимосвязь показателей непосредственных результатов деятельности ГРБС с достижением показателей конечных результатов деятельности ГРБС (в количественном выражении)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spacing w:after="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=(Q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/Q)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  <w:r>
              <w:rPr>
                <w:rFonts w:ascii="Times New Roman" w:hAnsi="Times New Roman"/>
                <w:sz w:val="24"/>
                <w:szCs w:val="24"/>
              </w:rPr>
              <w:t>100, где:</w:t>
            </w:r>
          </w:p>
          <w:p w:rsidR="00A21ADA" w:rsidRDefault="00A21AD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количество видов бюджетных ассигнований, по бюджетным ассигнованиям на очередной финансовый год и на плановый период, для которых в уточнённых обоснованиях бюджетных ассигнований ГРБС на очередной финансовый год и на плановый период указаны показатели конечных результатов деятельности ГРБС, вклад в достижение которых вносят результаты использования данного бюджетного ассигнования;</w:t>
            </w:r>
          </w:p>
          <w:p w:rsidR="00A21ADA" w:rsidRDefault="00A21AD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 общее количество видов бюджетных ассигнований по бюджетным ассигнованиям на очередной финансовый год и плановый период, для которых в уточнённых обоснованиях бюджетных ассигнований ГРБС на очередной финансовый год и на плановый период представлены показатели непосредственных результатов деятельности ГРБС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spacing w:after="0"/>
              <w:contextualSpacing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E(P)=</w:t>
            </w:r>
            <w:r>
              <w:rPr>
                <w:rFonts w:ascii="Times New Roman" w:hAnsi="Times New Roman"/>
                <w:position w:val="-24"/>
                <w:sz w:val="24"/>
                <w:szCs w:val="24"/>
              </w:rPr>
              <w:object w:dxaOrig="435" w:dyaOrig="615">
                <v:shape id="_x0000_i1029" type="#_x0000_t75" style="width:21.75pt;height:30.75pt" o:ole="" fillcolor="window">
                  <v:imagedata r:id="rId15" o:title=""/>
                </v:shape>
                <o:OLEObject Type="Embed" ProgID="Equation.3" ShapeID="_x0000_i1029" DrawAspect="Content" ObjectID="_1494933059" r:id="rId16"/>
              </w:objec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Значение показателя характеризует, насколько полно ГРБС в уточнённых обоснованиях бюджетных ассигнований сопоставил показатели непосредственных результатов деятельности ГРБС с достижением конечных результатов деятельности ГРБС</w:t>
            </w:r>
          </w:p>
          <w:p w:rsidR="00A21ADA" w:rsidRDefault="00A21AD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Целевым ориентиром для ГРБС является значение показателя, равное 100%</w:t>
            </w:r>
          </w:p>
        </w:tc>
      </w:tr>
      <w:tr w:rsidR="00A21ADA" w:rsidTr="00A21ADA">
        <w:trPr>
          <w:trHeight w:val="135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2.7. Соответствие показателей непосредственных </w:t>
            </w:r>
            <w:r>
              <w:rPr>
                <w:rFonts w:ascii="Times New Roman" w:hAnsi="Times New Roman" w:cs="Times New Roman"/>
              </w:rPr>
              <w:lastRenderedPageBreak/>
              <w:t>результатов деятельности ГРБС (в денежном выражении), приведенных в уточнённых обоснованиях бюджетных ассигнований на очередной финансовый год и на плановый период, требованиям Методических рекомендаций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Р</w:t>
            </w:r>
            <w:proofErr w:type="gramEnd"/>
            <w:r>
              <w:rPr>
                <w:rFonts w:ascii="Times New Roman" w:hAnsi="Times New Roman" w:cs="Times New Roman"/>
              </w:rPr>
              <w:t>=(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>
              <w:rPr>
                <w:rFonts w:ascii="Times New Roman" w:hAnsi="Times New Roman" w:cs="Times New Roman"/>
              </w:rPr>
              <w:t>/</w:t>
            </w: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>
              <w:rPr>
                <w:rFonts w:ascii="Times New Roman" w:hAnsi="Times New Roman" w:cs="Times New Roman"/>
              </w:rPr>
              <w:t>100, где:</w:t>
            </w:r>
          </w:p>
          <w:p w:rsidR="00A21ADA" w:rsidRDefault="00A21AD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S</w:t>
            </w: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– сумма бюджетных ассигнований ГРБС на очередной финансовый год и </w:t>
            </w:r>
            <w:r>
              <w:rPr>
                <w:rFonts w:ascii="Times New Roman" w:hAnsi="Times New Roman" w:cs="Times New Roman"/>
              </w:rPr>
              <w:lastRenderedPageBreak/>
              <w:t>плановый период, для которых в уточнённых обоснованиях бюджетных ассигнований на очередной финансовый год и на плановый период представлены показатели непосредственных результатов деятельности ГРБС, соответствующие Методическим рекомендациям;</w:t>
            </w:r>
          </w:p>
          <w:p w:rsidR="00A21ADA" w:rsidRDefault="00A21AD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 - общая сумма бюджетных ассигнований ГРБС на очередной финансовый год и на плановый период, для которых в уточнённых обоснованиях бюджетных ассигнований представлены показатели непосредственных результатов деятельности ГРБС (независимо от того, соответствуют они Методическим рекомендациям или нет)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E(P)=</w:t>
            </w:r>
            <w:r>
              <w:rPr>
                <w:rFonts w:ascii="Times New Roman" w:hAnsi="Times New Roman"/>
                <w:position w:val="-24"/>
                <w:sz w:val="24"/>
                <w:szCs w:val="24"/>
              </w:rPr>
              <w:object w:dxaOrig="435" w:dyaOrig="615">
                <v:shape id="_x0000_i1030" type="#_x0000_t75" style="width:21.75pt;height:30.75pt" o:ole="" fillcolor="window">
                  <v:imagedata r:id="rId17" o:title=""/>
                </v:shape>
                <o:OLEObject Type="Embed" ProgID="Equation.3" ShapeID="_x0000_i1030" DrawAspect="Content" ObjectID="_1494933060" r:id="rId18"/>
              </w:objec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показателя характеризует качество представленных в </w:t>
            </w:r>
            <w:r>
              <w:rPr>
                <w:rFonts w:ascii="Times New Roman" w:hAnsi="Times New Roman" w:cs="Times New Roman"/>
              </w:rPr>
              <w:lastRenderedPageBreak/>
              <w:t>уточнённых обоснованиях бюджетных ассигнований ГРБС на очередной финансовый год и на плановый период показателей непосредственных результатов деятельности ГРБС, исходя из их соответствия Методическим рекомендациям</w:t>
            </w:r>
          </w:p>
          <w:p w:rsidR="00A21ADA" w:rsidRDefault="00A21AD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Целевым ориентиром для ГРБС является значение показателя, равное 100%</w:t>
            </w:r>
          </w:p>
        </w:tc>
      </w:tr>
      <w:tr w:rsidR="00A21ADA" w:rsidTr="00A21ADA">
        <w:trPr>
          <w:trHeight w:val="2014"/>
        </w:trPr>
        <w:tc>
          <w:tcPr>
            <w:tcW w:w="2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2.8. Соответствие показателей непосредственных результатов деятельности ГРБС, приведенных в уточнённых обоснованиях бюджетных ассигнований на очередной финансовый </w:t>
            </w:r>
            <w:r>
              <w:rPr>
                <w:rFonts w:ascii="Times New Roman" w:hAnsi="Times New Roman" w:cs="Times New Roman"/>
              </w:rPr>
              <w:lastRenderedPageBreak/>
              <w:t>год и на плановый период, требованиям Методических рекомендаций (в количественном выражении)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lastRenderedPageBreak/>
              <w:t>Р</w:t>
            </w:r>
            <w:proofErr w:type="gramEnd"/>
            <w:r>
              <w:rPr>
                <w:rFonts w:ascii="Times New Roman" w:hAnsi="Times New Roman" w:cs="Times New Roman"/>
              </w:rPr>
              <w:t>=(Q</w:t>
            </w: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>
              <w:rPr>
                <w:rFonts w:ascii="Times New Roman" w:hAnsi="Times New Roman" w:cs="Times New Roman"/>
              </w:rPr>
              <w:t>/Q)</w:t>
            </w:r>
            <w:r>
              <w:rPr>
                <w:rFonts w:ascii="Times New Roman" w:hAnsi="Times New Roman" w:cs="Times New Roman"/>
                <w:lang w:val="en-US"/>
              </w:rPr>
              <w:t>x</w:t>
            </w:r>
            <w:r>
              <w:rPr>
                <w:rFonts w:ascii="Times New Roman" w:hAnsi="Times New Roman" w:cs="Times New Roman"/>
              </w:rPr>
              <w:t>100, где:</w:t>
            </w:r>
          </w:p>
          <w:p w:rsidR="00A21ADA" w:rsidRDefault="00A21AD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</w:t>
            </w:r>
            <w:r>
              <w:rPr>
                <w:rFonts w:ascii="Times New Roman" w:hAnsi="Times New Roman" w:cs="Times New Roman"/>
                <w:vertAlign w:val="subscript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– количество видов бюджетных ассигнований по бюджетным ассигнованиям ГРБС на очередной финансовый год и на плановый период, для которых в уточнённых обоснованиях бюджетных ассигнований на очередной финансовый год и на плановый </w:t>
            </w:r>
            <w:r>
              <w:rPr>
                <w:rFonts w:ascii="Times New Roman" w:hAnsi="Times New Roman" w:cs="Times New Roman"/>
              </w:rPr>
              <w:lastRenderedPageBreak/>
              <w:t>период представлены показатели непосредственных результатов деятельности ГРБС, соответствующие Методическим рекомендациям;</w:t>
            </w:r>
          </w:p>
          <w:p w:rsidR="00A21ADA" w:rsidRDefault="00A21AD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Q – общее количество видов бюджетных ассигнований по бюджетным ассигнованиям ГРБС на очередной финансовый год и на плановый период, для которых в уточнённых обоснованиях бюджетных ассигнований представлены показатели непосредственных результатов деятельности ГРБС (независимо от того, соответствуют они Методическим рекомендациям или нет)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E(P)=</w:t>
            </w:r>
            <w:r>
              <w:rPr>
                <w:rFonts w:ascii="Times New Roman" w:hAnsi="Times New Roman"/>
                <w:position w:val="-24"/>
                <w:sz w:val="24"/>
                <w:szCs w:val="24"/>
              </w:rPr>
              <w:object w:dxaOrig="435" w:dyaOrig="615">
                <v:shape id="_x0000_i1031" type="#_x0000_t75" style="width:21.75pt;height:30.75pt" o:ole="" fillcolor="window">
                  <v:imagedata r:id="rId19" o:title=""/>
                </v:shape>
                <o:OLEObject Type="Embed" ProgID="Equation.3" ShapeID="_x0000_i1031" DrawAspect="Content" ObjectID="_1494933061" r:id="rId20"/>
              </w:objec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1ADA" w:rsidRDefault="00A21AD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Значение показателя характеризует качество представленных в уточнённых обоснованиях бюджетных ассигнований ГРБС на очередной финансовый год и на плановый период показателей </w:t>
            </w:r>
            <w:r>
              <w:rPr>
                <w:rFonts w:ascii="Times New Roman" w:hAnsi="Times New Roman" w:cs="Times New Roman"/>
              </w:rPr>
              <w:lastRenderedPageBreak/>
              <w:t>непосредственных результатов деятельности ГРБС, исходя из их соответствия Методическим рекомендациям</w:t>
            </w:r>
          </w:p>
          <w:p w:rsidR="00A21ADA" w:rsidRDefault="00A21ADA">
            <w:pPr>
              <w:pStyle w:val="a3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Целевым ориентиром для ГРБС является значение показателя, равное 100%</w:t>
            </w:r>
          </w:p>
        </w:tc>
      </w:tr>
    </w:tbl>
    <w:p w:rsidR="00A21ADA" w:rsidRDefault="00A21ADA" w:rsidP="00A21ADA">
      <w:pPr>
        <w:pStyle w:val="1"/>
        <w:tabs>
          <w:tab w:val="clear" w:pos="0"/>
          <w:tab w:val="left" w:pos="142"/>
        </w:tabs>
        <w:ind w:right="-425"/>
        <w:contextualSpacing/>
      </w:pPr>
    </w:p>
    <w:p w:rsidR="00A21ADA" w:rsidRDefault="00A21ADA" w:rsidP="00A21AD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A21ADA" w:rsidRDefault="00A21ADA" w:rsidP="00A21AD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</w:p>
    <w:p w:rsidR="00A21ADA" w:rsidRDefault="00A21ADA" w:rsidP="00A21AD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Заместитель начальника финансового управления</w:t>
      </w:r>
    </w:p>
    <w:p w:rsidR="00A21ADA" w:rsidRDefault="00A21ADA" w:rsidP="00A21AD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администрации муниципального образования</w:t>
      </w:r>
    </w:p>
    <w:p w:rsidR="00A21ADA" w:rsidRDefault="00A21ADA" w:rsidP="00A21ADA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Новокубанский район,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начальник бюджетного отдела                                                                                        </w:t>
      </w: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Т.В.Максимова</w:t>
      </w:r>
      <w:proofErr w:type="spellEnd"/>
    </w:p>
    <w:p w:rsidR="00A21ADA" w:rsidRDefault="00A21ADA" w:rsidP="00A21ADA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171CFC" w:rsidRDefault="00171CFC"/>
    <w:sectPr w:rsidR="00171CFC" w:rsidSect="002E3F1F">
      <w:headerReference w:type="default" r:id="rId21"/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7672" w:rsidRDefault="00F67672" w:rsidP="00A21ADA">
      <w:pPr>
        <w:spacing w:after="0" w:line="240" w:lineRule="auto"/>
      </w:pPr>
      <w:r>
        <w:separator/>
      </w:r>
    </w:p>
  </w:endnote>
  <w:endnote w:type="continuationSeparator" w:id="0">
    <w:p w:rsidR="00F67672" w:rsidRDefault="00F67672" w:rsidP="00A21A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7672" w:rsidRDefault="00F67672" w:rsidP="00A21ADA">
      <w:pPr>
        <w:spacing w:after="0" w:line="240" w:lineRule="auto"/>
      </w:pPr>
      <w:r>
        <w:separator/>
      </w:r>
    </w:p>
  </w:footnote>
  <w:footnote w:type="continuationSeparator" w:id="0">
    <w:p w:rsidR="00F67672" w:rsidRDefault="00F67672" w:rsidP="00A21A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054777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21ADA" w:rsidRPr="00A21ADA" w:rsidRDefault="00A21ADA" w:rsidP="00A21ADA">
        <w:pPr>
          <w:pStyle w:val="a4"/>
          <w:jc w:val="center"/>
          <w:rPr>
            <w:rFonts w:ascii="Times New Roman" w:hAnsi="Times New Roman"/>
            <w:sz w:val="24"/>
            <w:szCs w:val="24"/>
          </w:rPr>
        </w:pPr>
        <w:r w:rsidRPr="00A21ADA">
          <w:rPr>
            <w:rFonts w:ascii="Times New Roman" w:hAnsi="Times New Roman"/>
            <w:sz w:val="24"/>
            <w:szCs w:val="24"/>
          </w:rPr>
          <w:fldChar w:fldCharType="begin"/>
        </w:r>
        <w:r w:rsidRPr="00A21AD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A21ADA">
          <w:rPr>
            <w:rFonts w:ascii="Times New Roman" w:hAnsi="Times New Roman"/>
            <w:sz w:val="24"/>
            <w:szCs w:val="24"/>
          </w:rPr>
          <w:fldChar w:fldCharType="separate"/>
        </w:r>
        <w:r w:rsidR="002E3F1F">
          <w:rPr>
            <w:rFonts w:ascii="Times New Roman" w:hAnsi="Times New Roman"/>
            <w:noProof/>
            <w:sz w:val="24"/>
            <w:szCs w:val="24"/>
          </w:rPr>
          <w:t>11</w:t>
        </w:r>
        <w:r w:rsidRPr="00A21AD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336"/>
    <w:rsid w:val="00032336"/>
    <w:rsid w:val="00037D84"/>
    <w:rsid w:val="00171CFC"/>
    <w:rsid w:val="002E3F1F"/>
    <w:rsid w:val="002E7E6D"/>
    <w:rsid w:val="005C4D67"/>
    <w:rsid w:val="00A21ADA"/>
    <w:rsid w:val="00F67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ADA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A21ADA"/>
    <w:pPr>
      <w:keepNext/>
      <w:tabs>
        <w:tab w:val="left" w:pos="0"/>
        <w:tab w:val="left" w:pos="7655"/>
        <w:tab w:val="left" w:pos="8080"/>
      </w:tabs>
      <w:spacing w:after="0" w:line="240" w:lineRule="auto"/>
      <w:ind w:right="57"/>
      <w:jc w:val="both"/>
      <w:outlineLvl w:val="0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1A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A21AD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A21AD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lang w:eastAsia="ru-RU"/>
    </w:rPr>
  </w:style>
  <w:style w:type="paragraph" w:styleId="a4">
    <w:name w:val="header"/>
    <w:basedOn w:val="a"/>
    <w:link w:val="a5"/>
    <w:uiPriority w:val="99"/>
    <w:unhideWhenUsed/>
    <w:rsid w:val="00A21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1ADA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A21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1ADA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3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3F1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ADA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A21ADA"/>
    <w:pPr>
      <w:keepNext/>
      <w:tabs>
        <w:tab w:val="left" w:pos="0"/>
        <w:tab w:val="left" w:pos="7655"/>
        <w:tab w:val="left" w:pos="8080"/>
      </w:tabs>
      <w:spacing w:after="0" w:line="240" w:lineRule="auto"/>
      <w:ind w:right="57"/>
      <w:jc w:val="both"/>
      <w:outlineLvl w:val="0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1A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A21AD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A21ADA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lang w:eastAsia="ru-RU"/>
    </w:rPr>
  </w:style>
  <w:style w:type="paragraph" w:styleId="a4">
    <w:name w:val="header"/>
    <w:basedOn w:val="a"/>
    <w:link w:val="a5"/>
    <w:uiPriority w:val="99"/>
    <w:unhideWhenUsed/>
    <w:rsid w:val="00A21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21ADA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A21A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21ADA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E3F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E3F1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57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" Type="http://schemas.microsoft.com/office/2007/relationships/stylesWithEffects" Target="stylesWithEffect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1936</Words>
  <Characters>11041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Соляник Елена Станиславовна</dc:creator>
  <cp:keywords/>
  <dc:description/>
  <cp:lastModifiedBy>Соляник Елена Станиславовна</cp:lastModifiedBy>
  <cp:revision>5</cp:revision>
  <cp:lastPrinted>2015-06-04T11:24:00Z</cp:lastPrinted>
  <dcterms:created xsi:type="dcterms:W3CDTF">2015-06-04T09:41:00Z</dcterms:created>
  <dcterms:modified xsi:type="dcterms:W3CDTF">2015-06-04T11:24:00Z</dcterms:modified>
</cp:coreProperties>
</file>