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542A7372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4DE62D88" w:rsidR="00C96914" w:rsidRDefault="009B48AD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  <w:r>
        <w:rPr>
          <w:snapToGrid w:val="0"/>
          <w:szCs w:val="28"/>
          <w:lang w:val="ru-RU"/>
        </w:rPr>
        <w:t>от 12.12.2025                                                                                                            525</w:t>
      </w: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4EA39AC8" w14:textId="77777777" w:rsidR="009B48AD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47F5AB40" w:rsidR="000F5FC5" w:rsidRPr="009B48AD" w:rsidRDefault="009B48AD" w:rsidP="003A3CC1">
      <w:pPr>
        <w:pStyle w:val="1"/>
        <w:keepNext w:val="0"/>
        <w:widowControl w:val="0"/>
        <w:spacing w:line="240" w:lineRule="auto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(с изменениями от 14.01.2025 г. № 540</w:t>
      </w:r>
      <w:r w:rsidR="00023938">
        <w:rPr>
          <w:snapToGrid w:val="0"/>
          <w:sz w:val="24"/>
          <w:szCs w:val="24"/>
          <w:lang w:val="ru-RU"/>
        </w:rPr>
        <w:t>, от 20.02.2025 г. № 547</w:t>
      </w:r>
      <w:r w:rsidRPr="009B48AD">
        <w:rPr>
          <w:snapToGrid w:val="0"/>
          <w:sz w:val="24"/>
          <w:szCs w:val="24"/>
        </w:rPr>
        <w:t>)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589A6377" w14:textId="77777777" w:rsidR="00023938" w:rsidRPr="00023938" w:rsidRDefault="005F4663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23938" w:rsidRPr="00023938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2025 год:</w:t>
      </w:r>
    </w:p>
    <w:p w14:paraId="35E6BEDF" w14:textId="77777777" w:rsidR="00023938" w:rsidRPr="00023938" w:rsidRDefault="00023938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38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3 122 650,2 тысячи (три миллиарда сто двадцать два миллиона шестьсот пятьдесят тысяч двести) рублей;</w:t>
      </w:r>
    </w:p>
    <w:p w14:paraId="70354767" w14:textId="77777777" w:rsidR="00023938" w:rsidRPr="00023938" w:rsidRDefault="00023938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38">
        <w:rPr>
          <w:rFonts w:ascii="Times New Roman" w:eastAsia="Calibri" w:hAnsi="Times New Roman" w:cs="Times New Roman"/>
          <w:sz w:val="28"/>
          <w:szCs w:val="28"/>
        </w:rPr>
        <w:t>2) общий объем расходов в сумме 3 277 528,2 тысяч (три миллиарда двести семьдесят семь миллионов пятьсот двадцать восемь тысяч двести) рублей;</w:t>
      </w:r>
    </w:p>
    <w:p w14:paraId="470124D1" w14:textId="77777777" w:rsidR="00023938" w:rsidRPr="00023938" w:rsidRDefault="00023938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3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2026 года в сумме 0,0 тысяч (сорок восемь миллионов шестьсот шестьдесят шесть тысяч семьсот)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11EE3D12" w14:textId="77777777" w:rsidR="00023938" w:rsidRPr="00023938" w:rsidRDefault="00023938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38">
        <w:rPr>
          <w:rFonts w:ascii="Times New Roman" w:eastAsia="Calibri" w:hAnsi="Times New Roman" w:cs="Times New Roman"/>
          <w:sz w:val="28"/>
          <w:szCs w:val="28"/>
        </w:rPr>
        <w:t>4) дефицит бюджета муниципального образования Новокубанский район на 2025 год в сумме 154 878,0 (сто пятьдесят четыре миллиона восемьсот семьдесят восемь тысяч) рублей.</w:t>
      </w:r>
    </w:p>
    <w:p w14:paraId="7BA99887" w14:textId="77777777" w:rsidR="00023938" w:rsidRPr="00023938" w:rsidRDefault="00023938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38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2026 год и на 2027 год:</w:t>
      </w:r>
    </w:p>
    <w:p w14:paraId="344D6DB4" w14:textId="77777777" w:rsidR="00023938" w:rsidRPr="00023938" w:rsidRDefault="00023938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38">
        <w:rPr>
          <w:rFonts w:ascii="Times New Roman" w:eastAsia="Calibri" w:hAnsi="Times New Roman" w:cs="Times New Roman"/>
          <w:sz w:val="28"/>
          <w:szCs w:val="28"/>
        </w:rPr>
        <w:t>1) общий объем доходов на 2026 год в сумме 3 073 896,8 тысяч (три миллиарда семьдесят три миллиона восемьсот девяносто шесть тысяч восемьсот) рублей и на 2027 год в сумме 3 261 197,4 тысяч (три миллиарда двести шестьдесят один миллион сто девяносто семь тысяч четыреста) рублей;</w:t>
      </w:r>
    </w:p>
    <w:p w14:paraId="19765335" w14:textId="77777777" w:rsidR="00023938" w:rsidRPr="00023938" w:rsidRDefault="00023938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38">
        <w:rPr>
          <w:rFonts w:ascii="Times New Roman" w:eastAsia="Calibri" w:hAnsi="Times New Roman" w:cs="Times New Roman"/>
          <w:sz w:val="28"/>
          <w:szCs w:val="28"/>
        </w:rPr>
        <w:t>2) общий объем расходов на 2026 год в сумме 3 086 396,8 тысячи (три миллиарда восемьдесят шесть миллионов триста девяносто шесть тысяч восемьсот) рублей и на 2027 год 3 261 197,4 тысяч (три миллиарда двести шестьдесят один миллион сто девяносто семь тысяч четыреста) рублей;</w:t>
      </w:r>
    </w:p>
    <w:p w14:paraId="6B62D04C" w14:textId="77777777" w:rsidR="00023938" w:rsidRPr="00023938" w:rsidRDefault="00023938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3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2027 года в сумме 7500,0 тысяч (пятьдесят шесть миллионов сто шестьдесят шесть тысяч семьсот)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01 января 2028 года в сумме 0,0 тысяч (пятьдесят шесть миллионов сто шестьдесят шесть тысяч семьсот)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74A4813E" w14:textId="48DDEEB7" w:rsidR="00FB07A9" w:rsidRDefault="00023938" w:rsidP="00023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938">
        <w:rPr>
          <w:rFonts w:ascii="Times New Roman" w:eastAsia="Calibri" w:hAnsi="Times New Roman" w:cs="Times New Roman"/>
          <w:sz w:val="28"/>
          <w:szCs w:val="28"/>
        </w:rPr>
        <w:t>4) дефицит бюджета муниципального образования Новокубанский район на 2026 год в сумме 12 500,0 тысяч (двенадцать миллионов пятьсот тысяч) рублей, дефицит (профицит) бюджета муниципального образования на 2027 год в сумме 0,0 тысяч (ноль) рублей.</w:t>
      </w:r>
    </w:p>
    <w:p w14:paraId="7A2BF55C" w14:textId="6DD947F8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5F4663">
        <w:rPr>
          <w:rFonts w:ascii="Times New Roman" w:hAnsi="Times New Roman" w:cs="Times New Roman"/>
          <w:sz w:val="28"/>
          <w:szCs w:val="28"/>
        </w:rPr>
        <w:t xml:space="preserve"> 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>. Установить, что денежные средства от фактически поступивших доходов бюджета муниципального образования Новокубанский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75BEFDBD" w14:textId="4CC2959E" w:rsidR="004D4DC7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C7"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обязательств, на 202</w:t>
      </w:r>
      <w:r w:rsidR="004B5B9B">
        <w:rPr>
          <w:rFonts w:ascii="Times New Roman" w:hAnsi="Times New Roman"/>
          <w:sz w:val="28"/>
          <w:szCs w:val="28"/>
        </w:rPr>
        <w:t>5</w:t>
      </w:r>
      <w:r w:rsidRPr="007F03C7">
        <w:rPr>
          <w:rFonts w:ascii="Times New Roman" w:hAnsi="Times New Roman"/>
          <w:sz w:val="28"/>
          <w:szCs w:val="28"/>
        </w:rPr>
        <w:t xml:space="preserve"> </w:t>
      </w:r>
      <w:r w:rsidRPr="00B16B5D">
        <w:rPr>
          <w:rFonts w:ascii="Times New Roman" w:hAnsi="Times New Roman"/>
          <w:sz w:val="28"/>
          <w:szCs w:val="28"/>
        </w:rPr>
        <w:t xml:space="preserve">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108 580,6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(сто восемь миллионов пятьсот восемьдесят тысяч шестьсот)</w:t>
      </w:r>
      <w:r w:rsidRPr="00B16B5D">
        <w:rPr>
          <w:rFonts w:ascii="Times New Roman" w:hAnsi="Times New Roman"/>
          <w:sz w:val="28"/>
          <w:szCs w:val="28"/>
        </w:rPr>
        <w:t xml:space="preserve"> рублей, на 202</w:t>
      </w:r>
      <w:r w:rsidR="004B5B9B" w:rsidRPr="00B16B5D">
        <w:rPr>
          <w:rFonts w:ascii="Times New Roman" w:hAnsi="Times New Roman"/>
          <w:sz w:val="28"/>
          <w:szCs w:val="28"/>
        </w:rPr>
        <w:t>6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72 647,5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(семьдесят два миллиона шестьсот сорок семь тысяч пятьсот)</w:t>
      </w:r>
      <w:r w:rsidR="004B5B9B" w:rsidRPr="00B16B5D">
        <w:rPr>
          <w:rFonts w:ascii="Times New Roman" w:hAnsi="Times New Roman"/>
          <w:sz w:val="28"/>
          <w:szCs w:val="28"/>
        </w:rPr>
        <w:t xml:space="preserve"> рублей, на 2027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74 969,3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</w:t>
      </w:r>
      <w:bookmarkStart w:id="0" w:name="_GoBack"/>
      <w:bookmarkEnd w:id="0"/>
      <w:r w:rsidR="00B16B5D" w:rsidRPr="00B16B5D">
        <w:rPr>
          <w:rFonts w:ascii="Times New Roman" w:hAnsi="Times New Roman"/>
          <w:sz w:val="28"/>
          <w:szCs w:val="28"/>
        </w:rPr>
        <w:t>т четыре миллиона девятьсот шестьдесят девять тысяч триста)</w:t>
      </w:r>
      <w:r w:rsidRPr="00B16B5D">
        <w:rPr>
          <w:rFonts w:ascii="Times New Roman" w:hAnsi="Times New Roman"/>
          <w:sz w:val="28"/>
          <w:szCs w:val="28"/>
        </w:rPr>
        <w:t xml:space="preserve"> рублей;</w:t>
      </w:r>
    </w:p>
    <w:p w14:paraId="1BE87272" w14:textId="66E12FCC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F050E80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>) общий объем услов</w:t>
      </w:r>
      <w:r w:rsidR="004B5B9B">
        <w:rPr>
          <w:rFonts w:ascii="Times New Roman" w:hAnsi="Times New Roman" w:cs="Times New Roman"/>
          <w:sz w:val="28"/>
          <w:szCs w:val="28"/>
        </w:rPr>
        <w:t xml:space="preserve">но утвержденных расходов на </w:t>
      </w:r>
      <w:r w:rsidR="004B5B9B" w:rsidRPr="00251CD4">
        <w:rPr>
          <w:rFonts w:ascii="Times New Roman" w:hAnsi="Times New Roman" w:cs="Times New Roman"/>
          <w:sz w:val="28"/>
          <w:szCs w:val="28"/>
        </w:rPr>
        <w:t>2026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 xml:space="preserve">33 361,8 тысяч (тридцать три миллиона триста шестьдесят одна тысяча восемьсот) </w:t>
      </w:r>
      <w:r w:rsidR="004B5B9B" w:rsidRPr="00251CD4">
        <w:rPr>
          <w:rFonts w:ascii="Times New Roman" w:hAnsi="Times New Roman" w:cs="Times New Roman"/>
          <w:sz w:val="28"/>
          <w:szCs w:val="28"/>
        </w:rPr>
        <w:t>рублей и на 2027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>60 069,4 тысяч (шестьдесят миллионов шестьдесят девять тысяч четыреста)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lastRenderedPageBreak/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6E952845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</w:t>
      </w:r>
      <w:r w:rsidR="00023938" w:rsidRPr="00023938">
        <w:rPr>
          <w:rFonts w:ascii="Times New Roman" w:hAnsi="Times New Roman"/>
          <w:sz w:val="28"/>
          <w:szCs w:val="28"/>
        </w:rPr>
        <w:t>) на 2025 год в сумме 11 765,1 тысяч (одиннадцать миллионов семьсот шестьдесят пять тысяч сто)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725EFCF1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lastRenderedPageBreak/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ED1DCF" w:rsidRPr="001A34EF">
        <w:rPr>
          <w:rFonts w:ascii="Times New Roman" w:hAnsi="Times New Roman"/>
          <w:sz w:val="28"/>
          <w:szCs w:val="28"/>
        </w:rPr>
        <w:t>с 01 октября 2025</w:t>
      </w:r>
      <w:r w:rsidRPr="001A34EF">
        <w:rPr>
          <w:rFonts w:ascii="Times New Roman" w:hAnsi="Times New Roman"/>
          <w:sz w:val="28"/>
          <w:szCs w:val="28"/>
        </w:rPr>
        <w:t xml:space="preserve"> года 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" w:name="Par276"/>
      <w:bookmarkEnd w:id="1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50527C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с 01 октября 202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5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665019B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2C4B4D">
        <w:rPr>
          <w:rFonts w:ascii="Times New Roman" w:hAnsi="Times New Roman"/>
          <w:sz w:val="28"/>
          <w:szCs w:val="28"/>
        </w:rPr>
        <w:t>. 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</w:t>
      </w:r>
      <w:r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000,0 тысяч (двадцать </w:t>
      </w:r>
      <w:r>
        <w:rPr>
          <w:rFonts w:ascii="Times New Roman" w:hAnsi="Times New Roman"/>
          <w:sz w:val="28"/>
          <w:szCs w:val="28"/>
        </w:rPr>
        <w:t xml:space="preserve">пять </w:t>
      </w:r>
      <w:r w:rsidRPr="002C4B4D">
        <w:rPr>
          <w:rFonts w:ascii="Times New Roman" w:hAnsi="Times New Roman"/>
          <w:sz w:val="28"/>
          <w:szCs w:val="28"/>
        </w:rPr>
        <w:t xml:space="preserve">миллионов) рублей, в том числе со сроком возврата в 2025 году в сумме 20 000,0 тысяч (двадцать миллионов) рублей и в 2026 году в сумме </w:t>
      </w:r>
      <w:r>
        <w:rPr>
          <w:rFonts w:ascii="Times New Roman" w:hAnsi="Times New Roman"/>
          <w:sz w:val="28"/>
          <w:szCs w:val="28"/>
        </w:rPr>
        <w:t>5 000,0 тысяч (пять миллионов)</w:t>
      </w:r>
      <w:r w:rsidRPr="002C4B4D">
        <w:rPr>
          <w:rFonts w:ascii="Times New Roman" w:hAnsi="Times New Roman"/>
          <w:sz w:val="28"/>
          <w:szCs w:val="28"/>
        </w:rPr>
        <w:t xml:space="preserve"> рублей.</w:t>
      </w:r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lastRenderedPageBreak/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выставочно-ярмарочных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A3CF59E" w14:textId="2807838E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3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(Сусский).</w:t>
      </w:r>
    </w:p>
    <w:p w14:paraId="5958AB52" w14:textId="38EA1A1D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4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393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30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3938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4663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48AD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1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CE0E8-3455-4AE7-A245-5F7FEC379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10</Pages>
  <Words>3663</Words>
  <Characters>20885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108</cp:revision>
  <cp:lastPrinted>2024-11-11T09:54:00Z</cp:lastPrinted>
  <dcterms:created xsi:type="dcterms:W3CDTF">2019-11-08T12:38:00Z</dcterms:created>
  <dcterms:modified xsi:type="dcterms:W3CDTF">2025-02-27T08:00:00Z</dcterms:modified>
</cp:coreProperties>
</file>